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3A" w:rsidRPr="00DC343A" w:rsidRDefault="00DC343A" w:rsidP="00DC3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3A"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_GoBack"/>
      <w:bookmarkEnd w:id="0"/>
      <w:r w:rsidRPr="00DC343A">
        <w:rPr>
          <w:rFonts w:ascii="Times New Roman" w:hAnsi="Times New Roman" w:cs="Times New Roman"/>
          <w:b/>
          <w:sz w:val="28"/>
          <w:szCs w:val="28"/>
        </w:rPr>
        <w:t xml:space="preserve"> установления и регистрации сервитута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Сервитут может быть установлен по взаимному соглашению сторон или судебному решению, если собственник соседнего участка не согласен на заключение соглашения.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Если собственник земельного участка согласен установить сервитут, нужно заключить с ним соглашение о сервитуте с указанием: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- кадастрового номера земельного участка, в отношении которого устанавливается сервитут;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- сведений о сторонах соглашения;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- цели и основания установления сервитута;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- срока действия сервитута (если сервитут не бессрочный);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- размера платы (если сервитут устанавливается за плату);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- прав и обязанностей сторон соглашения, в том числе обязанности после прекращения сервитута привести участок в состояние согласно разрешенному использованию (например, при прокладке коммуникаций засыпать траншею и восстановить плодородный слой почвы и т. д.).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 xml:space="preserve">Участники соглашения об установлении сервитута (или один из них), либо лицо, в пользу которого судом установлен сервитут, вправе обратиться за государственной регистрацией сервитута, представив документы (в том числе соглашение либо решение суда) в электронном </w:t>
      </w:r>
      <w:proofErr w:type="gramStart"/>
      <w:r w:rsidRPr="00DC343A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DC343A">
        <w:rPr>
          <w:rFonts w:ascii="Times New Roman" w:hAnsi="Times New Roman" w:cs="Times New Roman"/>
          <w:sz w:val="28"/>
          <w:szCs w:val="28"/>
        </w:rPr>
        <w:t xml:space="preserve"> либо путем личного обращения, например, через МФЦ,</w:t>
      </w:r>
    </w:p>
    <w:p w:rsidR="00DC343A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Если сервитут устанавливается на часть участка, необходимо также приложить межевой план. Тогда будет проведена процедура одновременной государственной регистрации сервитута и государственного кадастрового учета в отношении части земельного участка.</w:t>
      </w:r>
    </w:p>
    <w:p w:rsidR="003F4FFC" w:rsidRPr="00DC343A" w:rsidRDefault="00DC343A" w:rsidP="00DC343A">
      <w:pPr>
        <w:jc w:val="both"/>
        <w:rPr>
          <w:rFonts w:ascii="Times New Roman" w:hAnsi="Times New Roman" w:cs="Times New Roman"/>
          <w:sz w:val="28"/>
          <w:szCs w:val="28"/>
        </w:rPr>
      </w:pPr>
      <w:r w:rsidRPr="00DC343A">
        <w:rPr>
          <w:rFonts w:ascii="Times New Roman" w:hAnsi="Times New Roman" w:cs="Times New Roman"/>
          <w:sz w:val="28"/>
          <w:szCs w:val="28"/>
        </w:rPr>
        <w:t>После завершения процедуры регистрации заявителю будет выдана выписка из ЕГРН, содержащая сведения о сервитуте, если он зарегистрирован как вещное право.</w:t>
      </w:r>
    </w:p>
    <w:sectPr w:rsidR="003F4FFC" w:rsidRPr="00DC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DB"/>
    <w:rsid w:val="000757DB"/>
    <w:rsid w:val="003F4FFC"/>
    <w:rsid w:val="00D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727B-093B-41AB-B38D-13C0E12F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2024-06-27T06:32:00Z</dcterms:created>
  <dcterms:modified xsi:type="dcterms:W3CDTF">2024-06-27T06:32:00Z</dcterms:modified>
</cp:coreProperties>
</file>