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center"/>
        <w:spacing w:before="0" w:after="0" w:line="1008" w:lineRule="atLeast"/>
        <w:rPr>
          <w:rFonts w:ascii="Tinos" w:hAnsi="Tinos" w:cs="Tinos"/>
          <w:sz w:val="28"/>
          <w:szCs w:val="28"/>
        </w:rPr>
        <w:pBdr>
          <w:top w:val="none" w:color="000000" w:sz="4" w:space="0"/>
          <w:left w:val="none" w:color="000000" w:sz="4" w:space="0"/>
          <w:bottom w:val="none" w:color="000000" w:sz="4" w:space="0"/>
          <w:right w:val="none" w:color="000000" w:sz="4" w:space="0"/>
        </w:pBdr>
      </w:pPr>
      <w:r>
        <w:rPr>
          <w:rFonts w:ascii="Tinos" w:hAnsi="Tinos" w:eastAsia="Tinos" w:cs="Tinos"/>
          <w:b/>
          <w:color w:val="3d4146"/>
          <w:sz w:val="28"/>
          <w:szCs w:val="28"/>
        </w:rPr>
        <w:t xml:space="preserve">Основные причины признания сделки недействительной</w:t>
      </w:r>
      <w:r>
        <w:rPr>
          <w:rFonts w:ascii="Tinos" w:hAnsi="Tinos" w:eastAsia="Tinos" w:cs="Tinos"/>
          <w:sz w:val="28"/>
          <w:szCs w:val="28"/>
        </w:rPr>
      </w:r>
    </w:p>
    <w:p>
      <w:pPr>
        <w:ind w:left="0" w:right="0" w:firstLine="0"/>
        <w:jc w:val="left"/>
        <w:spacing w:before="300" w:after="0"/>
        <w:rPr>
          <w:rFonts w:ascii="Tinos" w:hAnsi="Tinos" w:cs="Tinos"/>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292c2f"/>
          <w:sz w:val="28"/>
          <w:szCs w:val="28"/>
        </w:rPr>
        <w:t xml:space="preserve">Иногда долгожданная покупка недвижимости может обернуться неприятными последствиями: сделка признается ничтожной или оспоримой по ряду оснований. В межмуниципальном отделе по Ейскому и Щербиновскому районам Управлении Росреестра по Краснодарскому краю назвали основные риски признания сделки недействительной.</w:t>
        <w:br/>
        <w:t xml:space="preserve">Продавец недвижимости</w:t>
      </w:r>
      <w:r>
        <w:rPr>
          <w:rFonts w:ascii="Tinos" w:hAnsi="Tinos" w:eastAsia="Tinos" w:cs="Tinos"/>
          <w:color w:val="292c2f"/>
          <w:sz w:val="28"/>
          <w:szCs w:val="28"/>
        </w:rPr>
        <w:t xml:space="preserve"> просит указать в договоре купли-продажи </w:t>
      </w:r>
      <w:r>
        <w:rPr>
          <w:rFonts w:ascii="Tinos" w:hAnsi="Tinos" w:eastAsia="Tinos" w:cs="Tinos"/>
          <w:b/>
          <w:color w:val="292c2f"/>
          <w:sz w:val="28"/>
          <w:szCs w:val="28"/>
        </w:rPr>
        <w:t xml:space="preserve">заниженную стоимость объекта</w:t>
      </w:r>
      <w:r>
        <w:rPr>
          <w:rFonts w:ascii="Tinos" w:hAnsi="Tinos" w:eastAsia="Tinos" w:cs="Tinos"/>
          <w:color w:val="292c2f"/>
          <w:sz w:val="28"/>
          <w:szCs w:val="28"/>
        </w:rPr>
        <w:t xml:space="preserve"> недвижимости для «экономии», например, при уплате налогов. В будущем это может стать основанием для оспаривания — причем больше всего от заниженной цены в договоре пострадает покупатель.</w:t>
        <w:br/>
      </w:r>
      <w:r>
        <w:rPr>
          <w:rFonts w:ascii="Tinos" w:hAnsi="Tinos" w:eastAsia="Tinos" w:cs="Tinos"/>
          <w:i w:val="0"/>
          <w:iCs w:val="0"/>
          <w:color w:val="292c2f"/>
          <w:sz w:val="28"/>
          <w:szCs w:val="28"/>
        </w:rPr>
        <w:t xml:space="preserve">Во-первых, на суде обязательно выяснится, что истец знал о заниженной цене, ведь в договоре стоит его подпись — а значит, он сознательно допустил правонарушение. Во-вторых, если по решению суда сделка будет признана недействительной, стороны возвращаются </w:t>
      </w:r>
      <w:r>
        <w:rPr>
          <w:rFonts w:ascii="Tinos" w:hAnsi="Tinos" w:eastAsia="Tinos" w:cs="Tinos"/>
          <w:i w:val="0"/>
          <w:iCs w:val="0"/>
          <w:color w:val="292c2f"/>
          <w:sz w:val="28"/>
          <w:szCs w:val="28"/>
        </w:rPr>
        <w:t xml:space="preserve">в первоначальное положение: продавец получает недвижимость обратно и отдает деньги покупателю. Однако в этом случае продавец обязан будет вернуть только сумму, указанную в договоре»</w:t>
      </w:r>
      <w:r>
        <w:rPr>
          <w:rFonts w:ascii="Tinos" w:hAnsi="Tinos" w:eastAsia="Tinos" w:cs="Tinos"/>
          <w:b/>
          <w:i w:val="0"/>
          <w:iCs w:val="0"/>
          <w:color w:val="292c2f"/>
          <w:sz w:val="28"/>
          <w:szCs w:val="28"/>
        </w:rPr>
        <w:t xml:space="preserve">.</w:t>
      </w:r>
      <w:r>
        <w:rPr>
          <w:rFonts w:ascii="Tinos" w:hAnsi="Tinos" w:eastAsia="Tinos" w:cs="Tinos"/>
          <w:b/>
          <w:color w:val="292c2f"/>
          <w:sz w:val="28"/>
          <w:szCs w:val="28"/>
        </w:rPr>
        <w:br/>
      </w:r>
      <w:r>
        <w:rPr>
          <w:rFonts w:ascii="Tinos" w:hAnsi="Tinos" w:eastAsia="Tinos" w:cs="Tinos"/>
          <w:color w:val="292c2f"/>
          <w:sz w:val="28"/>
          <w:szCs w:val="28"/>
        </w:rPr>
        <w:t xml:space="preserve">Могут возникнуть и налоговые риски — ограничение налогового вычета или увеличенный налог при продаже объекта, поскольку налог высчитывается от разницы между покупкой и продажей недвижимости.</w:t>
        <w:br/>
        <w:t xml:space="preserve">Чем меньше срок владения объектом недвижимости, тем больше вероя</w:t>
      </w:r>
      <w:r>
        <w:rPr>
          <w:rFonts w:ascii="Tinos" w:hAnsi="Tinos" w:eastAsia="Tinos" w:cs="Tinos"/>
          <w:color w:val="292c2f"/>
          <w:sz w:val="28"/>
          <w:szCs w:val="28"/>
        </w:rPr>
        <w:t xml:space="preserve">тность возникновения притязаний со стороны третьих лиц, а значит, и оснований для признания сделки недействительной. Покупателю необходимо обратить внимание на </w:t>
      </w:r>
      <w:r>
        <w:rPr>
          <w:rFonts w:ascii="Tinos" w:hAnsi="Tinos" w:eastAsia="Tinos" w:cs="Tinos"/>
          <w:b/>
          <w:color w:val="292c2f"/>
          <w:sz w:val="28"/>
          <w:szCs w:val="28"/>
        </w:rPr>
        <w:t xml:space="preserve">срок владения недвижимостью титульным собственником </w:t>
      </w:r>
      <w:r>
        <w:rPr>
          <w:rFonts w:ascii="Tinos" w:hAnsi="Tinos" w:eastAsia="Tinos" w:cs="Tinos"/>
          <w:color w:val="292c2f"/>
          <w:sz w:val="28"/>
          <w:szCs w:val="28"/>
        </w:rPr>
        <w:t xml:space="preserve">— оптимальным периодом считается срок от трех лет. Проверить владельцев можно запросив выписку из Единого государственного реестра недвижимости (ЕГРН) о переходе прав — запросить такую выписку собственник может с помощью портала Госуслуг.</w:t>
        <w:br/>
        <w:t xml:space="preserve">Перед п</w:t>
      </w:r>
      <w:r>
        <w:rPr>
          <w:rFonts w:ascii="Tinos" w:hAnsi="Tinos" w:eastAsia="Tinos" w:cs="Tinos"/>
          <w:color w:val="292c2f"/>
          <w:sz w:val="28"/>
          <w:szCs w:val="28"/>
        </w:rPr>
        <w:t xml:space="preserve">окупкой важно знать, не </w:t>
      </w:r>
      <w:r>
        <w:rPr>
          <w:rFonts w:ascii="Tinos" w:hAnsi="Tinos" w:eastAsia="Tinos" w:cs="Tinos"/>
          <w:b/>
          <w:color w:val="292c2f"/>
          <w:sz w:val="28"/>
          <w:szCs w:val="28"/>
        </w:rPr>
        <w:t xml:space="preserve">является ли продавец квартиры фигурантом дела о банкротстве. </w:t>
      </w:r>
      <w:r>
        <w:rPr>
          <w:rFonts w:ascii="Tinos" w:hAnsi="Tinos" w:eastAsia="Tinos" w:cs="Tinos"/>
          <w:color w:val="292c2f"/>
          <w:sz w:val="28"/>
          <w:szCs w:val="28"/>
        </w:rPr>
        <w:t xml:space="preserve">Сделка, совершенная должником в течение </w:t>
      </w:r>
      <w:r>
        <w:rPr>
          <w:rFonts w:ascii="Tinos" w:hAnsi="Tinos" w:eastAsia="Tinos" w:cs="Tinos"/>
          <w:color w:val="292c2f"/>
          <w:sz w:val="28"/>
          <w:szCs w:val="28"/>
          <w:u w:val="single"/>
        </w:rPr>
        <w:t xml:space="preserve">одного года</w:t>
      </w:r>
      <w:r>
        <w:rPr>
          <w:rFonts w:ascii="Tinos" w:hAnsi="Tinos" w:eastAsia="Tinos" w:cs="Tinos"/>
          <w:color w:val="292c2f"/>
          <w:sz w:val="28"/>
          <w:szCs w:val="28"/>
        </w:rPr>
        <w:t xml:space="preserve"> до принятия заявления о признании банкротом или после принятия указанного заявления, может быть признана арбитражным судом недействительной при неравноценном встречном исполнении обязательств другой стороной сделки (так называемая подозрительная сделка).</w:t>
        <w:br/>
      </w:r>
      <w:r>
        <w:rPr>
          <w:rFonts w:ascii="Tinos" w:hAnsi="Tinos" w:eastAsia="Tinos" w:cs="Tinos"/>
          <w:color w:val="292c2f"/>
          <w:sz w:val="28"/>
          <w:szCs w:val="28"/>
        </w:rPr>
        <w:t xml:space="preserve">Также суд может признать недействительной продажу недвижимости как сделку, повлекшую причинение вреда имущественным правам кредиторов, если такая сделка была совершена в течение трех лет до принятия заявления о признании гражданина банкротом или после при</w:t>
      </w:r>
      <w:r>
        <w:rPr>
          <w:rFonts w:ascii="Tinos" w:hAnsi="Tinos" w:eastAsia="Tinos" w:cs="Tinos"/>
          <w:color w:val="292c2f"/>
          <w:sz w:val="28"/>
          <w:szCs w:val="28"/>
        </w:rPr>
        <w:t xml:space="preserve">нятия указанного заявления, и другая сторона сделки знала об указанной цели должника. Информацию о возможном банкротстве физического лица можно узнать с помощью Единого федерального реестра сведений о банкротстве (ЕФРСБ).</w:t>
        <w:br/>
        <w:t xml:space="preserve">Росреестр</w:t>
      </w:r>
      <w:r>
        <w:rPr>
          <w:rFonts w:ascii="Tinos" w:hAnsi="Tinos" w:eastAsia="Tinos" w:cs="Tinos"/>
          <w:color w:val="292c2f"/>
          <w:sz w:val="28"/>
          <w:szCs w:val="28"/>
        </w:rPr>
        <w:t xml:space="preserve"> напоминает, что сделку можно признать ничтожной или оспоримой.</w:t>
      </w:r>
      <w:r>
        <w:rPr>
          <w:rFonts w:ascii="Tinos" w:hAnsi="Tinos" w:eastAsia="Tinos" w:cs="Tinos"/>
          <w:color w:val="292c2f"/>
          <w:sz w:val="28"/>
          <w:szCs w:val="28"/>
        </w:rPr>
        <w:t xml:space="preserve"> </w:t>
      </w:r>
      <w:r>
        <w:rPr>
          <w:rFonts w:ascii="Tinos" w:hAnsi="Tinos" w:eastAsia="Tinos" w:cs="Tinos"/>
          <w:b/>
          <w:bCs/>
          <w:color w:val="292c2f"/>
          <w:sz w:val="28"/>
          <w:szCs w:val="28"/>
        </w:rPr>
        <w:t xml:space="preserve">Ничтожная сделка</w:t>
      </w:r>
      <w:r>
        <w:rPr>
          <w:rFonts w:ascii="Tinos" w:hAnsi="Tinos" w:eastAsia="Tinos" w:cs="Tinos"/>
          <w:color w:val="292c2f"/>
          <w:sz w:val="28"/>
          <w:szCs w:val="28"/>
        </w:rPr>
        <w:t xml:space="preserve"> недействительна с момента заключения — без решения суда, потому что нарушает закон (например, мнимая сделка). </w:t>
      </w:r>
      <w:r>
        <w:rPr>
          <w:rFonts w:ascii="Tinos" w:hAnsi="Tinos" w:eastAsia="Tinos" w:cs="Tinos"/>
          <w:b/>
          <w:color w:val="292c2f"/>
          <w:sz w:val="28"/>
          <w:szCs w:val="28"/>
        </w:rPr>
        <w:t xml:space="preserve">Оспоримая сделка,</w:t>
      </w:r>
      <w:r>
        <w:rPr>
          <w:rFonts w:ascii="Tinos" w:hAnsi="Tinos" w:eastAsia="Tinos" w:cs="Tinos"/>
          <w:color w:val="292c2f"/>
          <w:sz w:val="28"/>
          <w:szCs w:val="28"/>
        </w:rPr>
        <w:t xml:space="preserve"> напротив, считается действительной, пока суд не признает обратное по иску заинтересованной стороны — например, если она совершена под влиянием обмана или угрозы.</w:t>
        <w:br/>
        <w:t xml:space="preserve">В соответствии со ст. 181 ГК РФ, срок исковой давности по требованиям о применении последств</w:t>
      </w:r>
      <w:r>
        <w:rPr>
          <w:rFonts w:ascii="Tinos" w:hAnsi="Tinos" w:eastAsia="Tinos" w:cs="Tinos"/>
          <w:color w:val="292c2f"/>
          <w:sz w:val="28"/>
          <w:szCs w:val="28"/>
        </w:rPr>
        <w:t xml:space="preserve">ий недействительности </w:t>
      </w:r>
      <w:r>
        <w:rPr>
          <w:rFonts w:ascii="Tinos" w:hAnsi="Tinos" w:eastAsia="Tinos" w:cs="Tinos"/>
          <w:b/>
          <w:color w:val="292c2f"/>
          <w:sz w:val="28"/>
          <w:szCs w:val="28"/>
        </w:rPr>
        <w:t xml:space="preserve">ничтожной сделки</w:t>
      </w:r>
      <w:r>
        <w:rPr>
          <w:rFonts w:ascii="Tinos" w:hAnsi="Tinos" w:eastAsia="Tinos" w:cs="Tinos"/>
          <w:color w:val="292c2f"/>
          <w:sz w:val="28"/>
          <w:szCs w:val="28"/>
        </w:rPr>
        <w:t xml:space="preserve"> и о признании такой сделки недействительной составляет</w:t>
      </w:r>
      <w:r>
        <w:rPr>
          <w:rFonts w:ascii="Tinos" w:hAnsi="Tinos" w:eastAsia="Tinos" w:cs="Tinos"/>
          <w:b/>
          <w:color w:val="292c2f"/>
          <w:sz w:val="28"/>
          <w:szCs w:val="28"/>
        </w:rPr>
        <w:t xml:space="preserve"> 3 года.</w:t>
      </w:r>
      <w:r>
        <w:rPr>
          <w:rFonts w:ascii="Tinos" w:hAnsi="Tinos" w:eastAsia="Tinos" w:cs="Tinos"/>
          <w:color w:val="292c2f"/>
          <w:sz w:val="28"/>
          <w:szCs w:val="28"/>
        </w:rPr>
        <w:t xml:space="preserve"> Срок начинается со дня исполнения ничтожной сделки. Если иск предъявлен третьим лицом, срок отсчитывается со дня, когда это лицо узнало или должно было узнать о начале ее исполнения.</w:t>
        <w:br/>
        <w:t xml:space="preserve">Срок исковой давности по требованию о признании </w:t>
      </w:r>
      <w:r>
        <w:rPr>
          <w:rFonts w:ascii="Tinos" w:hAnsi="Tinos" w:eastAsia="Tinos" w:cs="Tinos"/>
          <w:b/>
          <w:color w:val="292c2f"/>
          <w:sz w:val="28"/>
          <w:szCs w:val="28"/>
        </w:rPr>
        <w:t xml:space="preserve">оспоримой сделки </w:t>
      </w:r>
      <w:r>
        <w:rPr>
          <w:rFonts w:ascii="Tinos" w:hAnsi="Tinos" w:eastAsia="Tinos" w:cs="Tinos"/>
          <w:color w:val="292c2f"/>
          <w:sz w:val="28"/>
          <w:szCs w:val="28"/>
        </w:rPr>
        <w:t xml:space="preserve">недействительной и о применении последствий ее недействительности составляет</w:t>
      </w:r>
      <w:r>
        <w:rPr>
          <w:rFonts w:ascii="Tinos" w:hAnsi="Tinos" w:eastAsia="Tinos" w:cs="Tinos"/>
          <w:b/>
          <w:color w:val="292c2f"/>
          <w:sz w:val="28"/>
          <w:szCs w:val="28"/>
        </w:rPr>
        <w:t xml:space="preserve"> 1 год. </w:t>
      </w:r>
      <w:r>
        <w:rPr>
          <w:rFonts w:ascii="Tinos" w:hAnsi="Tinos" w:eastAsia="Tinos" w:cs="Tinos"/>
          <w:color w:val="292c2f"/>
          <w:sz w:val="28"/>
          <w:szCs w:val="28"/>
        </w:rPr>
        <w:t xml:space="preserve">Течение срока исковой давности по указанному требованию начинается со дня прекращения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w:t>
      </w:r>
      <w:r>
        <w:rPr>
          <w:rFonts w:ascii="Tinos" w:hAnsi="Tinos" w:eastAsia="Tinos" w:cs="Tinos"/>
          <w:color w:val="292c2f"/>
          <w:sz w:val="28"/>
          <w:szCs w:val="28"/>
        </w:rPr>
        <w:t xml:space="preserve">ки недействительной.</w:t>
        <w:br/>
        <w:t xml:space="preserve">Также, в соответствии со ст. 196 ГК РФ,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законом от 6 марта 2006 го</w:t>
      </w:r>
      <w:r>
        <w:rPr>
          <w:rFonts w:ascii="Tinos" w:hAnsi="Tinos" w:eastAsia="Tinos" w:cs="Tinos"/>
          <w:color w:val="292c2f"/>
          <w:sz w:val="28"/>
          <w:szCs w:val="28"/>
        </w:rPr>
        <w:t xml:space="preserve">да № 35-ФЗ «О противодействии терроризму».</w:t>
        <w:br/>
      </w:r>
      <w:r>
        <w:rPr>
          <w:rFonts w:ascii="Tinos" w:hAnsi="Tinos" w:eastAsia="Tinos" w:cs="Tinos"/>
          <w:sz w:val="28"/>
          <w:szCs w:val="28"/>
        </w:rPr>
      </w:r>
    </w:p>
    <w:p>
      <w:pPr>
        <w:jc w:val="both"/>
        <w:spacing w:after="0"/>
        <w:rPr>
          <w:sz w:val="26"/>
          <w:szCs w:val="26"/>
        </w:rPr>
      </w:pPr>
      <w:r>
        <w:rPr>
          <w:sz w:val="26"/>
          <w:szCs w:val="26"/>
        </w:rPr>
      </w:r>
      <w:r>
        <w:rPr>
          <w:sz w:val="26"/>
          <w:szCs w:val="26"/>
        </w:rPr>
      </w:r>
    </w:p>
    <w:p>
      <w:pPr>
        <w:jc w:val="both"/>
        <w:spacing w:after="0"/>
        <w:rPr>
          <w:sz w:val="26"/>
          <w:szCs w:val="26"/>
        </w:rPr>
      </w:pPr>
      <w:r>
        <w:rPr>
          <w:sz w:val="26"/>
          <w:szCs w:val="26"/>
        </w:rPr>
      </w:r>
      <w:r>
        <w:rPr>
          <w:sz w:val="26"/>
          <w:szCs w:val="26"/>
        </w:rPr>
      </w:r>
    </w:p>
    <w:p>
      <w:pPr>
        <w:jc w:val="both"/>
        <w:spacing w:after="0"/>
        <w:rPr>
          <w:sz w:val="26"/>
          <w:szCs w:val="26"/>
        </w:rPr>
      </w:pPr>
      <w:r>
        <w:rPr>
          <w:sz w:val="26"/>
          <w:szCs w:val="26"/>
        </w:rPr>
      </w:r>
      <w:r>
        <w:rPr>
          <w:sz w:val="26"/>
          <w:szCs w:val="26"/>
        </w:rPr>
      </w:r>
    </w:p>
    <w:p>
      <w:pPr>
        <w:jc w:val="both"/>
        <w:spacing w:after="0"/>
        <w:rPr>
          <w:sz w:val="26"/>
          <w:szCs w:val="26"/>
        </w:rPr>
      </w:pPr>
      <w:r>
        <w:rPr>
          <w:sz w:val="26"/>
          <w:szCs w:val="26"/>
        </w:rPr>
      </w:r>
      <w:r>
        <w:rPr>
          <w:sz w:val="26"/>
          <w:szCs w:val="26"/>
        </w:rPr>
      </w:r>
    </w:p>
    <w:p>
      <w:pPr>
        <w:jc w:val="both"/>
        <w:spacing w:after="0"/>
        <w:rPr>
          <w:sz w:val="26"/>
          <w:szCs w:val="26"/>
        </w:rPr>
      </w:pPr>
      <w:r>
        <w:rPr>
          <w:sz w:val="26"/>
          <w:szCs w:val="26"/>
        </w:rPr>
      </w:r>
      <w:r>
        <w:rPr>
          <w:sz w:val="26"/>
          <w:szCs w:val="26"/>
        </w:rPr>
      </w:r>
    </w:p>
    <w:p>
      <w:pPr>
        <w:jc w:val="both"/>
        <w:spacing w:after="0"/>
        <w:rPr>
          <w:sz w:val="26"/>
          <w:szCs w:val="26"/>
        </w:rPr>
      </w:pPr>
      <w:r>
        <w:rPr>
          <w:sz w:val="26"/>
          <w:szCs w:val="26"/>
        </w:rPr>
      </w:r>
      <w:r>
        <w:rPr>
          <w:sz w:val="26"/>
          <w:szCs w:val="26"/>
        </w:rPr>
      </w:r>
    </w:p>
    <w:p>
      <w:pPr>
        <w:jc w:val="both"/>
        <w:spacing w:after="0"/>
        <w:rPr>
          <w:sz w:val="26"/>
          <w:szCs w:val="26"/>
        </w:rPr>
      </w:pPr>
      <w:r>
        <w:rPr>
          <w:sz w:val="26"/>
          <w:szCs w:val="26"/>
        </w:rPr>
      </w:r>
      <w:r>
        <w:rPr>
          <w:sz w:val="26"/>
          <w:szCs w:val="26"/>
        </w:rPr>
      </w:r>
    </w:p>
    <w:p>
      <w:pPr>
        <w:jc w:val="both"/>
        <w:spacing w:after="0"/>
        <w:rPr>
          <w:sz w:val="26"/>
          <w:szCs w:val="26"/>
        </w:rPr>
      </w:pPr>
      <w:r>
        <w:rPr>
          <w:sz w:val="26"/>
          <w:szCs w:val="26"/>
        </w:rPr>
      </w:r>
      <w:r>
        <w:rPr>
          <w:sz w:val="26"/>
          <w:szCs w:val="26"/>
        </w:rPr>
      </w:r>
    </w:p>
    <w:p>
      <w:pPr>
        <w:jc w:val="both"/>
        <w:spacing w:after="0"/>
        <w:rPr>
          <w:sz w:val="26"/>
          <w:szCs w:val="26"/>
        </w:rPr>
      </w:pPr>
      <w:r>
        <w:rPr>
          <w:rFonts w:ascii="Times New Roman" w:hAnsi="Times New Roman" w:cs="Times New Roman"/>
          <w:sz w:val="26"/>
          <w:szCs w:val="26"/>
          <w:highlight w:val="none"/>
        </w:rPr>
      </w:r>
      <w:r>
        <w:rPr>
          <w:rFonts w:ascii="Times New Roman" w:hAnsi="Times New Roman" w:cs="Times New Roman"/>
          <w:sz w:val="26"/>
          <w:szCs w:val="26"/>
          <w:highlight w:val="none"/>
        </w:rPr>
      </w:r>
      <w:r>
        <w:rPr>
          <w:sz w:val="26"/>
          <w:szCs w:val="26"/>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Tinos">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5">
    <w:name w:val="Heading 1"/>
    <w:basedOn w:val="833"/>
    <w:next w:val="833"/>
    <w:link w:val="656"/>
    <w:uiPriority w:val="9"/>
    <w:qFormat/>
    <w:pPr>
      <w:keepLines/>
      <w:keepNext/>
      <w:spacing w:before="480" w:after="200"/>
      <w:outlineLvl w:val="0"/>
    </w:pPr>
    <w:rPr>
      <w:rFonts w:ascii="Arial" w:hAnsi="Arial" w:eastAsia="Arial" w:cs="Arial"/>
      <w:sz w:val="40"/>
      <w:szCs w:val="40"/>
    </w:rPr>
  </w:style>
  <w:style w:type="character" w:styleId="656">
    <w:name w:val="Heading 1 Char"/>
    <w:basedOn w:val="834"/>
    <w:link w:val="655"/>
    <w:uiPriority w:val="9"/>
    <w:rPr>
      <w:rFonts w:ascii="Arial" w:hAnsi="Arial" w:eastAsia="Arial" w:cs="Arial"/>
      <w:sz w:val="40"/>
      <w:szCs w:val="40"/>
    </w:rPr>
  </w:style>
  <w:style w:type="paragraph" w:styleId="657">
    <w:name w:val="Heading 2"/>
    <w:basedOn w:val="833"/>
    <w:next w:val="833"/>
    <w:link w:val="658"/>
    <w:uiPriority w:val="9"/>
    <w:unhideWhenUsed/>
    <w:qFormat/>
    <w:pPr>
      <w:keepLines/>
      <w:keepNext/>
      <w:spacing w:before="360" w:after="200"/>
      <w:outlineLvl w:val="1"/>
    </w:pPr>
    <w:rPr>
      <w:rFonts w:ascii="Arial" w:hAnsi="Arial" w:eastAsia="Arial" w:cs="Arial"/>
      <w:sz w:val="34"/>
    </w:rPr>
  </w:style>
  <w:style w:type="character" w:styleId="658">
    <w:name w:val="Heading 2 Char"/>
    <w:basedOn w:val="834"/>
    <w:link w:val="657"/>
    <w:uiPriority w:val="9"/>
    <w:rPr>
      <w:rFonts w:ascii="Arial" w:hAnsi="Arial" w:eastAsia="Arial" w:cs="Arial"/>
      <w:sz w:val="34"/>
    </w:rPr>
  </w:style>
  <w:style w:type="paragraph" w:styleId="659">
    <w:name w:val="Heading 3"/>
    <w:basedOn w:val="833"/>
    <w:next w:val="833"/>
    <w:link w:val="660"/>
    <w:uiPriority w:val="9"/>
    <w:unhideWhenUsed/>
    <w:qFormat/>
    <w:pPr>
      <w:keepLines/>
      <w:keepNext/>
      <w:spacing w:before="320" w:after="200"/>
      <w:outlineLvl w:val="2"/>
    </w:pPr>
    <w:rPr>
      <w:rFonts w:ascii="Arial" w:hAnsi="Arial" w:eastAsia="Arial" w:cs="Arial"/>
      <w:sz w:val="30"/>
      <w:szCs w:val="30"/>
    </w:rPr>
  </w:style>
  <w:style w:type="character" w:styleId="660">
    <w:name w:val="Heading 3 Char"/>
    <w:basedOn w:val="834"/>
    <w:link w:val="659"/>
    <w:uiPriority w:val="9"/>
    <w:rPr>
      <w:rFonts w:ascii="Arial" w:hAnsi="Arial" w:eastAsia="Arial" w:cs="Arial"/>
      <w:sz w:val="30"/>
      <w:szCs w:val="30"/>
    </w:rPr>
  </w:style>
  <w:style w:type="paragraph" w:styleId="661">
    <w:name w:val="Heading 4"/>
    <w:basedOn w:val="833"/>
    <w:next w:val="833"/>
    <w:link w:val="662"/>
    <w:uiPriority w:val="9"/>
    <w:unhideWhenUsed/>
    <w:qFormat/>
    <w:pPr>
      <w:keepLines/>
      <w:keepNext/>
      <w:spacing w:before="320" w:after="200"/>
      <w:outlineLvl w:val="3"/>
    </w:pPr>
    <w:rPr>
      <w:rFonts w:ascii="Arial" w:hAnsi="Arial" w:eastAsia="Arial" w:cs="Arial"/>
      <w:b/>
      <w:bCs/>
      <w:sz w:val="26"/>
      <w:szCs w:val="26"/>
    </w:rPr>
  </w:style>
  <w:style w:type="character" w:styleId="662">
    <w:name w:val="Heading 4 Char"/>
    <w:basedOn w:val="834"/>
    <w:link w:val="661"/>
    <w:uiPriority w:val="9"/>
    <w:rPr>
      <w:rFonts w:ascii="Arial" w:hAnsi="Arial" w:eastAsia="Arial" w:cs="Arial"/>
      <w:b/>
      <w:bCs/>
      <w:sz w:val="26"/>
      <w:szCs w:val="26"/>
    </w:rPr>
  </w:style>
  <w:style w:type="paragraph" w:styleId="663">
    <w:name w:val="Heading 5"/>
    <w:basedOn w:val="833"/>
    <w:next w:val="833"/>
    <w:link w:val="664"/>
    <w:uiPriority w:val="9"/>
    <w:unhideWhenUsed/>
    <w:qFormat/>
    <w:pPr>
      <w:keepLines/>
      <w:keepNext/>
      <w:spacing w:before="320" w:after="200"/>
      <w:outlineLvl w:val="4"/>
    </w:pPr>
    <w:rPr>
      <w:rFonts w:ascii="Arial" w:hAnsi="Arial" w:eastAsia="Arial" w:cs="Arial"/>
      <w:b/>
      <w:bCs/>
      <w:sz w:val="24"/>
      <w:szCs w:val="24"/>
    </w:rPr>
  </w:style>
  <w:style w:type="character" w:styleId="664">
    <w:name w:val="Heading 5 Char"/>
    <w:basedOn w:val="834"/>
    <w:link w:val="663"/>
    <w:uiPriority w:val="9"/>
    <w:rPr>
      <w:rFonts w:ascii="Arial" w:hAnsi="Arial" w:eastAsia="Arial" w:cs="Arial"/>
      <w:b/>
      <w:bCs/>
      <w:sz w:val="24"/>
      <w:szCs w:val="24"/>
    </w:rPr>
  </w:style>
  <w:style w:type="paragraph" w:styleId="665">
    <w:name w:val="Heading 6"/>
    <w:basedOn w:val="833"/>
    <w:next w:val="833"/>
    <w:link w:val="666"/>
    <w:uiPriority w:val="9"/>
    <w:unhideWhenUsed/>
    <w:qFormat/>
    <w:pPr>
      <w:keepLines/>
      <w:keepNext/>
      <w:spacing w:before="320" w:after="200"/>
      <w:outlineLvl w:val="5"/>
    </w:pPr>
    <w:rPr>
      <w:rFonts w:ascii="Arial" w:hAnsi="Arial" w:eastAsia="Arial" w:cs="Arial"/>
      <w:b/>
      <w:bCs/>
      <w:sz w:val="22"/>
      <w:szCs w:val="22"/>
    </w:rPr>
  </w:style>
  <w:style w:type="character" w:styleId="666">
    <w:name w:val="Heading 6 Char"/>
    <w:basedOn w:val="834"/>
    <w:link w:val="665"/>
    <w:uiPriority w:val="9"/>
    <w:rPr>
      <w:rFonts w:ascii="Arial" w:hAnsi="Arial" w:eastAsia="Arial" w:cs="Arial"/>
      <w:b/>
      <w:bCs/>
      <w:sz w:val="22"/>
      <w:szCs w:val="22"/>
    </w:rPr>
  </w:style>
  <w:style w:type="paragraph" w:styleId="667">
    <w:name w:val="Heading 7"/>
    <w:basedOn w:val="833"/>
    <w:next w:val="833"/>
    <w:link w:val="668"/>
    <w:uiPriority w:val="9"/>
    <w:unhideWhenUsed/>
    <w:qFormat/>
    <w:pPr>
      <w:keepLines/>
      <w:keepNext/>
      <w:spacing w:before="320" w:after="200"/>
      <w:outlineLvl w:val="6"/>
    </w:pPr>
    <w:rPr>
      <w:rFonts w:ascii="Arial" w:hAnsi="Arial" w:eastAsia="Arial" w:cs="Arial"/>
      <w:b/>
      <w:bCs/>
      <w:i/>
      <w:iCs/>
      <w:sz w:val="22"/>
      <w:szCs w:val="22"/>
    </w:rPr>
  </w:style>
  <w:style w:type="character" w:styleId="668">
    <w:name w:val="Heading 7 Char"/>
    <w:basedOn w:val="834"/>
    <w:link w:val="667"/>
    <w:uiPriority w:val="9"/>
    <w:rPr>
      <w:rFonts w:ascii="Arial" w:hAnsi="Arial" w:eastAsia="Arial" w:cs="Arial"/>
      <w:b/>
      <w:bCs/>
      <w:i/>
      <w:iCs/>
      <w:sz w:val="22"/>
      <w:szCs w:val="22"/>
    </w:rPr>
  </w:style>
  <w:style w:type="paragraph" w:styleId="669">
    <w:name w:val="Heading 8"/>
    <w:basedOn w:val="833"/>
    <w:next w:val="833"/>
    <w:link w:val="670"/>
    <w:uiPriority w:val="9"/>
    <w:unhideWhenUsed/>
    <w:qFormat/>
    <w:pPr>
      <w:keepLines/>
      <w:keepNext/>
      <w:spacing w:before="320" w:after="200"/>
      <w:outlineLvl w:val="7"/>
    </w:pPr>
    <w:rPr>
      <w:rFonts w:ascii="Arial" w:hAnsi="Arial" w:eastAsia="Arial" w:cs="Arial"/>
      <w:i/>
      <w:iCs/>
      <w:sz w:val="22"/>
      <w:szCs w:val="22"/>
    </w:rPr>
  </w:style>
  <w:style w:type="character" w:styleId="670">
    <w:name w:val="Heading 8 Char"/>
    <w:basedOn w:val="834"/>
    <w:link w:val="669"/>
    <w:uiPriority w:val="9"/>
    <w:rPr>
      <w:rFonts w:ascii="Arial" w:hAnsi="Arial" w:eastAsia="Arial" w:cs="Arial"/>
      <w:i/>
      <w:iCs/>
      <w:sz w:val="22"/>
      <w:szCs w:val="22"/>
    </w:rPr>
  </w:style>
  <w:style w:type="paragraph" w:styleId="671">
    <w:name w:val="Heading 9"/>
    <w:basedOn w:val="833"/>
    <w:next w:val="833"/>
    <w:link w:val="672"/>
    <w:uiPriority w:val="9"/>
    <w:unhideWhenUsed/>
    <w:qFormat/>
    <w:pPr>
      <w:keepLines/>
      <w:keepNext/>
      <w:spacing w:before="320" w:after="200"/>
      <w:outlineLvl w:val="8"/>
    </w:pPr>
    <w:rPr>
      <w:rFonts w:ascii="Arial" w:hAnsi="Arial" w:eastAsia="Arial" w:cs="Arial"/>
      <w:i/>
      <w:iCs/>
      <w:sz w:val="21"/>
      <w:szCs w:val="21"/>
    </w:rPr>
  </w:style>
  <w:style w:type="character" w:styleId="672">
    <w:name w:val="Heading 9 Char"/>
    <w:basedOn w:val="834"/>
    <w:link w:val="671"/>
    <w:uiPriority w:val="9"/>
    <w:rPr>
      <w:rFonts w:ascii="Arial" w:hAnsi="Arial" w:eastAsia="Arial" w:cs="Arial"/>
      <w:i/>
      <w:iCs/>
      <w:sz w:val="21"/>
      <w:szCs w:val="21"/>
    </w:rPr>
  </w:style>
  <w:style w:type="paragraph" w:styleId="673">
    <w:name w:val="List Paragraph"/>
    <w:basedOn w:val="833"/>
    <w:uiPriority w:val="34"/>
    <w:qFormat/>
    <w:pPr>
      <w:contextualSpacing/>
      <w:ind w:left="720"/>
    </w:pPr>
  </w:style>
  <w:style w:type="paragraph" w:styleId="674">
    <w:name w:val="No Spacing"/>
    <w:uiPriority w:val="1"/>
    <w:qFormat/>
    <w:pPr>
      <w:spacing w:before="0" w:after="0" w:line="240" w:lineRule="auto"/>
    </w:pPr>
  </w:style>
  <w:style w:type="paragraph" w:styleId="675">
    <w:name w:val="Title"/>
    <w:basedOn w:val="833"/>
    <w:next w:val="833"/>
    <w:link w:val="676"/>
    <w:uiPriority w:val="10"/>
    <w:qFormat/>
    <w:pPr>
      <w:contextualSpacing/>
      <w:spacing w:before="300" w:after="200"/>
    </w:pPr>
    <w:rPr>
      <w:sz w:val="48"/>
      <w:szCs w:val="48"/>
    </w:rPr>
  </w:style>
  <w:style w:type="character" w:styleId="676">
    <w:name w:val="Title Char"/>
    <w:basedOn w:val="834"/>
    <w:link w:val="675"/>
    <w:uiPriority w:val="10"/>
    <w:rPr>
      <w:sz w:val="48"/>
      <w:szCs w:val="48"/>
    </w:rPr>
  </w:style>
  <w:style w:type="paragraph" w:styleId="677">
    <w:name w:val="Subtitle"/>
    <w:basedOn w:val="833"/>
    <w:next w:val="833"/>
    <w:link w:val="678"/>
    <w:uiPriority w:val="11"/>
    <w:qFormat/>
    <w:pPr>
      <w:spacing w:before="200" w:after="200"/>
    </w:pPr>
    <w:rPr>
      <w:sz w:val="24"/>
      <w:szCs w:val="24"/>
    </w:rPr>
  </w:style>
  <w:style w:type="character" w:styleId="678">
    <w:name w:val="Subtitle Char"/>
    <w:basedOn w:val="834"/>
    <w:link w:val="677"/>
    <w:uiPriority w:val="11"/>
    <w:rPr>
      <w:sz w:val="24"/>
      <w:szCs w:val="24"/>
    </w:rPr>
  </w:style>
  <w:style w:type="paragraph" w:styleId="679">
    <w:name w:val="Quote"/>
    <w:basedOn w:val="833"/>
    <w:next w:val="833"/>
    <w:link w:val="680"/>
    <w:uiPriority w:val="29"/>
    <w:qFormat/>
    <w:pPr>
      <w:ind w:left="720" w:right="720"/>
    </w:pPr>
    <w:rPr>
      <w:i/>
    </w:rPr>
  </w:style>
  <w:style w:type="character" w:styleId="680">
    <w:name w:val="Quote Char"/>
    <w:link w:val="679"/>
    <w:uiPriority w:val="29"/>
    <w:rPr>
      <w:i/>
    </w:rPr>
  </w:style>
  <w:style w:type="paragraph" w:styleId="681">
    <w:name w:val="Intense Quote"/>
    <w:basedOn w:val="833"/>
    <w:next w:val="833"/>
    <w:link w:val="68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2">
    <w:name w:val="Intense Quote Char"/>
    <w:link w:val="681"/>
    <w:uiPriority w:val="30"/>
    <w:rPr>
      <w:i/>
    </w:rPr>
  </w:style>
  <w:style w:type="paragraph" w:styleId="683">
    <w:name w:val="Header"/>
    <w:basedOn w:val="833"/>
    <w:link w:val="684"/>
    <w:uiPriority w:val="99"/>
    <w:unhideWhenUsed/>
    <w:pPr>
      <w:spacing w:after="0" w:line="240" w:lineRule="auto"/>
      <w:tabs>
        <w:tab w:val="center" w:pos="7143" w:leader="none"/>
        <w:tab w:val="right" w:pos="14287" w:leader="none"/>
      </w:tabs>
    </w:pPr>
  </w:style>
  <w:style w:type="character" w:styleId="684">
    <w:name w:val="Header Char"/>
    <w:basedOn w:val="834"/>
    <w:link w:val="683"/>
    <w:uiPriority w:val="99"/>
  </w:style>
  <w:style w:type="paragraph" w:styleId="685">
    <w:name w:val="Footer"/>
    <w:basedOn w:val="833"/>
    <w:link w:val="686"/>
    <w:uiPriority w:val="99"/>
    <w:unhideWhenUsed/>
    <w:pPr>
      <w:spacing w:after="0" w:line="240" w:lineRule="auto"/>
      <w:tabs>
        <w:tab w:val="center" w:pos="7143" w:leader="none"/>
        <w:tab w:val="right" w:pos="14287" w:leader="none"/>
      </w:tabs>
    </w:pPr>
  </w:style>
  <w:style w:type="character" w:styleId="686">
    <w:name w:val="Footer Char"/>
    <w:basedOn w:val="834"/>
    <w:link w:val="685"/>
    <w:uiPriority w:val="99"/>
  </w:style>
  <w:style w:type="paragraph" w:styleId="687">
    <w:name w:val="Caption"/>
    <w:basedOn w:val="833"/>
    <w:next w:val="833"/>
    <w:link w:val="688"/>
    <w:uiPriority w:val="35"/>
    <w:semiHidden/>
    <w:unhideWhenUsed/>
    <w:qFormat/>
    <w:pPr>
      <w:spacing w:line="276" w:lineRule="auto"/>
    </w:pPr>
    <w:rPr>
      <w:b/>
      <w:bCs/>
      <w:color w:val="4f81bd" w:themeColor="accent1"/>
      <w:sz w:val="18"/>
      <w:szCs w:val="18"/>
    </w:rPr>
  </w:style>
  <w:style w:type="character" w:styleId="688">
    <w:name w:val="Caption Char"/>
    <w:basedOn w:val="834"/>
    <w:link w:val="687"/>
    <w:uiPriority w:val="35"/>
    <w:rPr>
      <w:b/>
      <w:bCs/>
      <w:color w:val="4f81bd" w:themeColor="accent1"/>
      <w:sz w:val="18"/>
      <w:szCs w:val="18"/>
    </w:rPr>
  </w:style>
  <w:style w:type="table" w:styleId="689">
    <w:name w:val="Table Grid"/>
    <w:basedOn w:val="83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0">
    <w:name w:val="Table Grid Light"/>
    <w:basedOn w:val="83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1">
    <w:name w:val="Plain Table 1"/>
    <w:basedOn w:val="83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2">
    <w:name w:val="Plain Table 2"/>
    <w:basedOn w:val="83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3">
    <w:name w:val="Plain Table 3"/>
    <w:basedOn w:val="83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4">
    <w:name w:val="Plain Table 4"/>
    <w:basedOn w:val="83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5">
    <w:name w:val="Plain Table 5"/>
    <w:basedOn w:val="83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6">
    <w:name w:val="Grid Table 1 Light"/>
    <w:basedOn w:val="83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7">
    <w:name w:val="Grid Table 1 Light - Accent 1"/>
    <w:basedOn w:val="83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8">
    <w:name w:val="Grid Table 1 Light - Accent 2"/>
    <w:basedOn w:val="83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9">
    <w:name w:val="Grid Table 1 Light - Accent 3"/>
    <w:basedOn w:val="83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0">
    <w:name w:val="Grid Table 1 Light - Accent 4"/>
    <w:basedOn w:val="83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1">
    <w:name w:val="Grid Table 1 Light - Accent 5"/>
    <w:basedOn w:val="83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2">
    <w:name w:val="Grid Table 1 Light - Accent 6"/>
    <w:basedOn w:val="83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3">
    <w:name w:val="Grid Table 2"/>
    <w:basedOn w:val="83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4">
    <w:name w:val="Grid Table 2 - Accent 1"/>
    <w:basedOn w:val="83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5">
    <w:name w:val="Grid Table 2 - Accent 2"/>
    <w:basedOn w:val="83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6">
    <w:name w:val="Grid Table 2 - Accent 3"/>
    <w:basedOn w:val="83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7">
    <w:name w:val="Grid Table 2 - Accent 4"/>
    <w:basedOn w:val="83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8">
    <w:name w:val="Grid Table 2 - Accent 5"/>
    <w:basedOn w:val="83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9">
    <w:name w:val="Grid Table 2 - Accent 6"/>
    <w:basedOn w:val="83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0">
    <w:name w:val="Grid Table 3"/>
    <w:basedOn w:val="83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1"/>
    <w:basedOn w:val="83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2"/>
    <w:basedOn w:val="83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3"/>
    <w:basedOn w:val="83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4"/>
    <w:basedOn w:val="83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5"/>
    <w:basedOn w:val="83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6"/>
    <w:basedOn w:val="83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4"/>
    <w:basedOn w:val="83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8">
    <w:name w:val="Grid Table 4 - Accent 1"/>
    <w:basedOn w:val="83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9">
    <w:name w:val="Grid Table 4 - Accent 2"/>
    <w:basedOn w:val="83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0">
    <w:name w:val="Grid Table 4 - Accent 3"/>
    <w:basedOn w:val="83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1">
    <w:name w:val="Grid Table 4 - Accent 4"/>
    <w:basedOn w:val="83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2">
    <w:name w:val="Grid Table 4 - Accent 5"/>
    <w:basedOn w:val="83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3">
    <w:name w:val="Grid Table 4 - Accent 6"/>
    <w:basedOn w:val="83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4">
    <w:name w:val="Grid Table 5 Dark"/>
    <w:basedOn w:val="83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5">
    <w:name w:val="Grid Table 5 Dark- Accent 1"/>
    <w:basedOn w:val="83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6">
    <w:name w:val="Grid Table 5 Dark - Accent 2"/>
    <w:basedOn w:val="83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7">
    <w:name w:val="Grid Table 5 Dark - Accent 3"/>
    <w:basedOn w:val="83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8">
    <w:name w:val="Grid Table 5 Dark- Accent 4"/>
    <w:basedOn w:val="83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9">
    <w:name w:val="Grid Table 5 Dark - Accent 5"/>
    <w:basedOn w:val="83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30">
    <w:name w:val="Grid Table 5 Dark - Accent 6"/>
    <w:basedOn w:val="83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31">
    <w:name w:val="Grid Table 6 Colorful"/>
    <w:basedOn w:val="83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2">
    <w:name w:val="Grid Table 6 Colorful - Accent 1"/>
    <w:basedOn w:val="83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3">
    <w:name w:val="Grid Table 6 Colorful - Accent 2"/>
    <w:basedOn w:val="83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4">
    <w:name w:val="Grid Table 6 Colorful - Accent 3"/>
    <w:basedOn w:val="83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5">
    <w:name w:val="Grid Table 6 Colorful - Accent 4"/>
    <w:basedOn w:val="83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6">
    <w:name w:val="Grid Table 6 Colorful - Accent 5"/>
    <w:basedOn w:val="83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7">
    <w:name w:val="Grid Table 6 Colorful - Accent 6"/>
    <w:basedOn w:val="83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8">
    <w:name w:val="Grid Table 7 Colorful"/>
    <w:basedOn w:val="83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9">
    <w:name w:val="Grid Table 7 Colorful - Accent 1"/>
    <w:basedOn w:val="83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0">
    <w:name w:val="Grid Table 7 Colorful - Accent 2"/>
    <w:basedOn w:val="83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1">
    <w:name w:val="Grid Table 7 Colorful - Accent 3"/>
    <w:basedOn w:val="83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2">
    <w:name w:val="Grid Table 7 Colorful - Accent 4"/>
    <w:basedOn w:val="83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3">
    <w:name w:val="Grid Table 7 Colorful - Accent 5"/>
    <w:basedOn w:val="83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4">
    <w:name w:val="Grid Table 7 Colorful - Accent 6"/>
    <w:basedOn w:val="83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5">
    <w:name w:val="List Table 1 Light"/>
    <w:basedOn w:val="83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6">
    <w:name w:val="List Table 1 Light - Accent 1"/>
    <w:basedOn w:val="83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7">
    <w:name w:val="List Table 1 Light - Accent 2"/>
    <w:basedOn w:val="83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8">
    <w:name w:val="List Table 1 Light - Accent 3"/>
    <w:basedOn w:val="83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9">
    <w:name w:val="List Table 1 Light - Accent 4"/>
    <w:basedOn w:val="83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0">
    <w:name w:val="List Table 1 Light - Accent 5"/>
    <w:basedOn w:val="83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1">
    <w:name w:val="List Table 1 Light - Accent 6"/>
    <w:basedOn w:val="83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2">
    <w:name w:val="List Table 2"/>
    <w:basedOn w:val="83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3">
    <w:name w:val="List Table 2 - Accent 1"/>
    <w:basedOn w:val="83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4">
    <w:name w:val="List Table 2 - Accent 2"/>
    <w:basedOn w:val="83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5">
    <w:name w:val="List Table 2 - Accent 3"/>
    <w:basedOn w:val="83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6">
    <w:name w:val="List Table 2 - Accent 4"/>
    <w:basedOn w:val="83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7">
    <w:name w:val="List Table 2 - Accent 5"/>
    <w:basedOn w:val="83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8">
    <w:name w:val="List Table 2 - Accent 6"/>
    <w:basedOn w:val="83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9">
    <w:name w:val="List Table 3"/>
    <w:basedOn w:val="83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0">
    <w:name w:val="List Table 3 - Accent 1"/>
    <w:basedOn w:val="83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1">
    <w:name w:val="List Table 3 - Accent 2"/>
    <w:basedOn w:val="83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62">
    <w:name w:val="List Table 3 - Accent 3"/>
    <w:basedOn w:val="83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3">
    <w:name w:val="List Table 3 - Accent 4"/>
    <w:basedOn w:val="83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4">
    <w:name w:val="List Table 3 - Accent 5"/>
    <w:basedOn w:val="83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5">
    <w:name w:val="List Table 3 - Accent 6"/>
    <w:basedOn w:val="83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6">
    <w:name w:val="List Table 4"/>
    <w:basedOn w:val="83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7">
    <w:name w:val="List Table 4 - Accent 1"/>
    <w:basedOn w:val="83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8">
    <w:name w:val="List Table 4 - Accent 2"/>
    <w:basedOn w:val="83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9">
    <w:name w:val="List Table 4 - Accent 3"/>
    <w:basedOn w:val="83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70">
    <w:name w:val="List Table 4 - Accent 4"/>
    <w:basedOn w:val="83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71">
    <w:name w:val="List Table 4 - Accent 5"/>
    <w:basedOn w:val="83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72">
    <w:name w:val="List Table 4 - Accent 6"/>
    <w:basedOn w:val="83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3">
    <w:name w:val="List Table 5 Dark"/>
    <w:basedOn w:val="83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1"/>
    <w:basedOn w:val="83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2"/>
    <w:basedOn w:val="83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3"/>
    <w:basedOn w:val="83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4"/>
    <w:basedOn w:val="83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5"/>
    <w:basedOn w:val="83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6"/>
    <w:basedOn w:val="83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6 Colorful"/>
    <w:basedOn w:val="83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1">
    <w:name w:val="List Table 6 Colorful - Accent 1"/>
    <w:basedOn w:val="83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82">
    <w:name w:val="List Table 6 Colorful - Accent 2"/>
    <w:basedOn w:val="83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3">
    <w:name w:val="List Table 6 Colorful - Accent 3"/>
    <w:basedOn w:val="83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4">
    <w:name w:val="List Table 6 Colorful - Accent 4"/>
    <w:basedOn w:val="83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5">
    <w:name w:val="List Table 6 Colorful - Accent 5"/>
    <w:basedOn w:val="83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6">
    <w:name w:val="List Table 6 Colorful - Accent 6"/>
    <w:basedOn w:val="83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7">
    <w:name w:val="List Table 7 Colorful"/>
    <w:basedOn w:val="83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8">
    <w:name w:val="List Table 7 Colorful - Accent 1"/>
    <w:basedOn w:val="83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9">
    <w:name w:val="List Table 7 Colorful - Accent 2"/>
    <w:basedOn w:val="83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90">
    <w:name w:val="List Table 7 Colorful - Accent 3"/>
    <w:basedOn w:val="83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91">
    <w:name w:val="List Table 7 Colorful - Accent 4"/>
    <w:basedOn w:val="83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92">
    <w:name w:val="List Table 7 Colorful - Accent 5"/>
    <w:basedOn w:val="83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3">
    <w:name w:val="List Table 7 Colorful - Accent 6"/>
    <w:basedOn w:val="83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4">
    <w:name w:val="Lined - Accent"/>
    <w:basedOn w:val="83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5">
    <w:name w:val="Lined - Accent 1"/>
    <w:basedOn w:val="83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6">
    <w:name w:val="Lined - Accent 2"/>
    <w:basedOn w:val="83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7">
    <w:name w:val="Lined - Accent 3"/>
    <w:basedOn w:val="83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8">
    <w:name w:val="Lined - Accent 4"/>
    <w:basedOn w:val="83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9">
    <w:name w:val="Lined - Accent 5"/>
    <w:basedOn w:val="83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0">
    <w:name w:val="Lined - Accent 6"/>
    <w:basedOn w:val="83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1">
    <w:name w:val="Bordered &amp; Lined - Accent"/>
    <w:basedOn w:val="83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2">
    <w:name w:val="Bordered &amp; Lined - Accent 1"/>
    <w:basedOn w:val="83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3">
    <w:name w:val="Bordered &amp; Lined - Accent 2"/>
    <w:basedOn w:val="83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4">
    <w:name w:val="Bordered &amp; Lined - Accent 3"/>
    <w:basedOn w:val="83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5">
    <w:name w:val="Bordered &amp; Lined - Accent 4"/>
    <w:basedOn w:val="83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6">
    <w:name w:val="Bordered &amp; Lined - Accent 5"/>
    <w:basedOn w:val="83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7">
    <w:name w:val="Bordered &amp; Lined - Accent 6"/>
    <w:basedOn w:val="83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8">
    <w:name w:val="Bordered"/>
    <w:basedOn w:val="83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9">
    <w:name w:val="Bordered - Accent 1"/>
    <w:basedOn w:val="83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0">
    <w:name w:val="Bordered - Accent 2"/>
    <w:basedOn w:val="83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1">
    <w:name w:val="Bordered - Accent 3"/>
    <w:basedOn w:val="83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2">
    <w:name w:val="Bordered - Accent 4"/>
    <w:basedOn w:val="83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3">
    <w:name w:val="Bordered - Accent 5"/>
    <w:basedOn w:val="83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4">
    <w:name w:val="Bordered - Accent 6"/>
    <w:basedOn w:val="83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5">
    <w:name w:val="Hyperlink"/>
    <w:uiPriority w:val="99"/>
    <w:unhideWhenUsed/>
    <w:rPr>
      <w:color w:val="0000ff" w:themeColor="hyperlink"/>
      <w:u w:val="single"/>
    </w:rPr>
  </w:style>
  <w:style w:type="paragraph" w:styleId="816">
    <w:name w:val="footnote text"/>
    <w:basedOn w:val="833"/>
    <w:link w:val="817"/>
    <w:uiPriority w:val="99"/>
    <w:semiHidden/>
    <w:unhideWhenUsed/>
    <w:pPr>
      <w:spacing w:after="40" w:line="240" w:lineRule="auto"/>
    </w:pPr>
    <w:rPr>
      <w:sz w:val="18"/>
    </w:rPr>
  </w:style>
  <w:style w:type="character" w:styleId="817">
    <w:name w:val="Footnote Text Char"/>
    <w:link w:val="816"/>
    <w:uiPriority w:val="99"/>
    <w:rPr>
      <w:sz w:val="18"/>
    </w:rPr>
  </w:style>
  <w:style w:type="character" w:styleId="818">
    <w:name w:val="footnote reference"/>
    <w:basedOn w:val="834"/>
    <w:uiPriority w:val="99"/>
    <w:unhideWhenUsed/>
    <w:rPr>
      <w:vertAlign w:val="superscript"/>
    </w:rPr>
  </w:style>
  <w:style w:type="paragraph" w:styleId="819">
    <w:name w:val="endnote text"/>
    <w:basedOn w:val="833"/>
    <w:link w:val="820"/>
    <w:uiPriority w:val="99"/>
    <w:semiHidden/>
    <w:unhideWhenUsed/>
    <w:pPr>
      <w:spacing w:after="0" w:line="240" w:lineRule="auto"/>
    </w:pPr>
    <w:rPr>
      <w:sz w:val="20"/>
    </w:rPr>
  </w:style>
  <w:style w:type="character" w:styleId="820">
    <w:name w:val="Endnote Text Char"/>
    <w:link w:val="819"/>
    <w:uiPriority w:val="99"/>
    <w:rPr>
      <w:sz w:val="20"/>
    </w:rPr>
  </w:style>
  <w:style w:type="character" w:styleId="821">
    <w:name w:val="endnote reference"/>
    <w:basedOn w:val="834"/>
    <w:uiPriority w:val="99"/>
    <w:semiHidden/>
    <w:unhideWhenUsed/>
    <w:rPr>
      <w:vertAlign w:val="superscript"/>
    </w:rPr>
  </w:style>
  <w:style w:type="paragraph" w:styleId="822">
    <w:name w:val="toc 1"/>
    <w:basedOn w:val="833"/>
    <w:next w:val="833"/>
    <w:uiPriority w:val="39"/>
    <w:unhideWhenUsed/>
    <w:pPr>
      <w:ind w:left="0" w:right="0" w:firstLine="0"/>
      <w:spacing w:after="57"/>
    </w:pPr>
  </w:style>
  <w:style w:type="paragraph" w:styleId="823">
    <w:name w:val="toc 2"/>
    <w:basedOn w:val="833"/>
    <w:next w:val="833"/>
    <w:uiPriority w:val="39"/>
    <w:unhideWhenUsed/>
    <w:pPr>
      <w:ind w:left="283" w:right="0" w:firstLine="0"/>
      <w:spacing w:after="57"/>
    </w:pPr>
  </w:style>
  <w:style w:type="paragraph" w:styleId="824">
    <w:name w:val="toc 3"/>
    <w:basedOn w:val="833"/>
    <w:next w:val="833"/>
    <w:uiPriority w:val="39"/>
    <w:unhideWhenUsed/>
    <w:pPr>
      <w:ind w:left="567" w:right="0" w:firstLine="0"/>
      <w:spacing w:after="57"/>
    </w:pPr>
  </w:style>
  <w:style w:type="paragraph" w:styleId="825">
    <w:name w:val="toc 4"/>
    <w:basedOn w:val="833"/>
    <w:next w:val="833"/>
    <w:uiPriority w:val="39"/>
    <w:unhideWhenUsed/>
    <w:pPr>
      <w:ind w:left="850" w:right="0" w:firstLine="0"/>
      <w:spacing w:after="57"/>
    </w:pPr>
  </w:style>
  <w:style w:type="paragraph" w:styleId="826">
    <w:name w:val="toc 5"/>
    <w:basedOn w:val="833"/>
    <w:next w:val="833"/>
    <w:uiPriority w:val="39"/>
    <w:unhideWhenUsed/>
    <w:pPr>
      <w:ind w:left="1134" w:right="0" w:firstLine="0"/>
      <w:spacing w:after="57"/>
    </w:pPr>
  </w:style>
  <w:style w:type="paragraph" w:styleId="827">
    <w:name w:val="toc 6"/>
    <w:basedOn w:val="833"/>
    <w:next w:val="833"/>
    <w:uiPriority w:val="39"/>
    <w:unhideWhenUsed/>
    <w:pPr>
      <w:ind w:left="1417" w:right="0" w:firstLine="0"/>
      <w:spacing w:after="57"/>
    </w:pPr>
  </w:style>
  <w:style w:type="paragraph" w:styleId="828">
    <w:name w:val="toc 7"/>
    <w:basedOn w:val="833"/>
    <w:next w:val="833"/>
    <w:uiPriority w:val="39"/>
    <w:unhideWhenUsed/>
    <w:pPr>
      <w:ind w:left="1701" w:right="0" w:firstLine="0"/>
      <w:spacing w:after="57"/>
    </w:pPr>
  </w:style>
  <w:style w:type="paragraph" w:styleId="829">
    <w:name w:val="toc 8"/>
    <w:basedOn w:val="833"/>
    <w:next w:val="833"/>
    <w:uiPriority w:val="39"/>
    <w:unhideWhenUsed/>
    <w:pPr>
      <w:ind w:left="1984" w:right="0" w:firstLine="0"/>
      <w:spacing w:after="57"/>
    </w:pPr>
  </w:style>
  <w:style w:type="paragraph" w:styleId="830">
    <w:name w:val="toc 9"/>
    <w:basedOn w:val="833"/>
    <w:next w:val="833"/>
    <w:uiPriority w:val="39"/>
    <w:unhideWhenUsed/>
    <w:pPr>
      <w:ind w:left="2268" w:right="0" w:firstLine="0"/>
      <w:spacing w:after="57"/>
    </w:pPr>
  </w:style>
  <w:style w:type="paragraph" w:styleId="831">
    <w:name w:val="TOC Heading"/>
    <w:uiPriority w:val="39"/>
    <w:unhideWhenUsed/>
  </w:style>
  <w:style w:type="paragraph" w:styleId="832">
    <w:name w:val="table of figures"/>
    <w:basedOn w:val="833"/>
    <w:next w:val="833"/>
    <w:uiPriority w:val="99"/>
    <w:unhideWhenUsed/>
    <w:pPr>
      <w:spacing w:after="0" w:afterAutospacing="0"/>
    </w:pPr>
  </w:style>
  <w:style w:type="paragraph" w:styleId="833" w:default="1">
    <w:name w:val="Normal"/>
    <w:qFormat/>
  </w:style>
  <w:style w:type="character" w:styleId="834" w:default="1">
    <w:name w:val="Default Paragraph Font"/>
    <w:uiPriority w:val="1"/>
    <w:semiHidden/>
    <w:unhideWhenUsed/>
  </w:style>
  <w:style w:type="table" w:styleId="835" w:default="1">
    <w:name w:val="Normal Table"/>
    <w:uiPriority w:val="99"/>
    <w:semiHidden/>
    <w:unhideWhenUsed/>
    <w:tblPr>
      <w:tblInd w:w="0" w:type="dxa"/>
      <w:tblCellMar>
        <w:left w:w="108" w:type="dxa"/>
        <w:top w:w="0" w:type="dxa"/>
        <w:right w:w="108" w:type="dxa"/>
        <w:bottom w:w="0" w:type="dxa"/>
      </w:tblCellMar>
    </w:tblPr>
  </w:style>
  <w:style w:type="numbering" w:styleId="836"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v.mamontov</cp:lastModifiedBy>
  <cp:revision>9</cp:revision>
  <dcterms:created xsi:type="dcterms:W3CDTF">2022-05-11T13:29:00Z</dcterms:created>
  <dcterms:modified xsi:type="dcterms:W3CDTF">2026-05-27T09:19:51Z</dcterms:modified>
</cp:coreProperties>
</file>