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rFonts w:ascii="Tinos" w:hAnsi="Tinos" w:cs="Tinos"/>
          <w:b/>
          <w:bCs/>
          <w:sz w:val="28"/>
          <w:szCs w:val="28"/>
        </w:rPr>
      </w:pPr>
      <w:r>
        <w:rPr>
          <w:rFonts w:ascii="Tinos" w:hAnsi="Tinos" w:eastAsia="Tinos" w:cs="Tinos"/>
          <w:b/>
          <w:bCs/>
          <w:sz w:val="28"/>
          <w:szCs w:val="28"/>
        </w:rPr>
        <w:t xml:space="preserve">О продлении «гаражной амнистии»</w:t>
      </w:r>
      <w:r>
        <w:rPr>
          <w:rFonts w:ascii="Tinos" w:hAnsi="Tinos" w:eastAsia="Tinos" w:cs="Tinos"/>
          <w:b/>
          <w:bCs/>
          <w:sz w:val="28"/>
          <w:szCs w:val="28"/>
        </w:rPr>
      </w:r>
    </w:p>
    <w:p>
      <w:pPr>
        <w:ind w:left="0" w:right="0" w:firstLine="0"/>
        <w:spacing w:before="300" w:after="0"/>
        <w:rPr>
          <w:rFonts w:ascii="Times New Roman" w:hAnsi="Times New Roman" w:eastAsia="Times New Roman" w:cs="Times New Roman"/>
          <w:color w:val="000000"/>
          <w:sz w:val="26"/>
          <w:szCs w:val="26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 xml:space="preserve">Государственная Дума приняла в третьем, окончательном чтении закон о продлении «гаражной амнистии» на пять лет - до 1 сентября 2031 года. Инициатива,  предусматривает сохранение упрощенной процедуры кадастрового учет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 xml:space="preserve">а и регистрации прав на объекты гаражного назначения и расположенные под ними земельные участки. </w:t>
      </w:r>
      <w:r>
        <w:rPr>
          <w:rFonts w:ascii="Times New Roman" w:hAnsi="Times New Roman" w:eastAsia="Times New Roman" w:cs="Times New Roman"/>
          <w:sz w:val="26"/>
          <w:szCs w:val="26"/>
        </w:rPr>
      </w:r>
    </w:p>
    <w:p>
      <w:pPr>
        <w:ind w:left="0" w:right="0" w:firstLine="0"/>
        <w:spacing w:before="300" w:after="0"/>
        <w:rPr>
          <w:rFonts w:ascii="Times New Roman" w:hAnsi="Times New Roman" w:eastAsia="Times New Roman" w:cs="Times New Roman"/>
          <w:sz w:val="26"/>
          <w:szCs w:val="26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6"/>
          <w:szCs w:val="26"/>
        </w:rPr>
      </w:r>
      <w:r>
        <w:rPr>
          <w:rFonts w:ascii="Times New Roman" w:hAnsi="Times New Roman" w:eastAsia="Times New Roman" w:cs="Times New Roman"/>
          <w:i w:val="0"/>
          <w:iCs w:val="0"/>
          <w:color w:val="000000"/>
          <w:sz w:val="26"/>
          <w:szCs w:val="26"/>
        </w:rPr>
        <w:t xml:space="preserve">Гаражная амнистия имеет социальную направленность - она помогает людям в максимально упрощенном порядке бесплатно оформить земельный участок и гараж. Закон был принят Президентом в 2021 году по инициативе Росреестра и в настоящее время дейс</w:t>
      </w:r>
      <w:r>
        <w:rPr>
          <w:rFonts w:ascii="Times New Roman" w:hAnsi="Times New Roman" w:eastAsia="Times New Roman" w:cs="Times New Roman"/>
          <w:i w:val="0"/>
          <w:iCs w:val="0"/>
          <w:color w:val="000000"/>
          <w:sz w:val="26"/>
          <w:szCs w:val="26"/>
        </w:rPr>
        <w:t xml:space="preserve">твует до 1 сентября 2026 года. За пять лет по всей стране зарегистрировано порядка 800 тыс. объектов. Продление «гаражной амнистии» до 1 сентября 2031 года позволит воспользоваться таким инструментом еще большему количеству россиян, которые смогут оформить</w:t>
      </w:r>
      <w:r>
        <w:rPr>
          <w:rFonts w:ascii="Times New Roman" w:hAnsi="Times New Roman" w:eastAsia="Times New Roman" w:cs="Times New Roman"/>
          <w:i w:val="0"/>
          <w:iCs w:val="0"/>
          <w:color w:val="000000"/>
          <w:sz w:val="26"/>
          <w:szCs w:val="26"/>
        </w:rPr>
        <w:t xml:space="preserve"> свое имущество и законно им распоряжаться</w:t>
      </w:r>
      <w:r>
        <w:rPr>
          <w:rFonts w:ascii="Times New Roman" w:hAnsi="Times New Roman" w:eastAsia="Times New Roman" w:cs="Times New Roman"/>
          <w:sz w:val="26"/>
          <w:szCs w:val="26"/>
        </w:rPr>
      </w:r>
      <w:r>
        <w:rPr>
          <w:sz w:val="26"/>
          <w:szCs w:val="26"/>
        </w:rPr>
      </w:r>
    </w:p>
    <w:p>
      <w:pPr>
        <w:ind w:left="0" w:right="0" w:firstLine="0"/>
        <w:spacing w:before="300" w:after="0"/>
        <w:rPr>
          <w:sz w:val="26"/>
          <w:szCs w:val="26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 xml:space="preserve">С начала действия закона наибольшее количество гаражей зарегистрировали в Ленинградской (20 тыс.), Омской (13 тыс.), Саратовской (10,4 тыс.), Московской (10,2 тыс.) и Тюменской (10,2 тыс.) областях.</w:t>
      </w:r>
      <w:r>
        <w:rPr>
          <w:sz w:val="26"/>
          <w:szCs w:val="26"/>
        </w:rPr>
      </w:r>
    </w:p>
    <w:p>
      <w:pPr>
        <w:ind w:left="0" w:right="0" w:firstLine="0"/>
        <w:spacing w:before="300" w:after="0"/>
        <w:rPr>
          <w:sz w:val="26"/>
          <w:szCs w:val="26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 xml:space="preserve">Лидерами по числу оформленных земельных участков под гаражами стали Ленинградская (41,4 тыс.), Саратовская (23,6 тыс.) и Московская (23 тыс.) области, Пермский край (19 тыс.) и Омская область (16 тыс.).</w:t>
      </w:r>
      <w:r>
        <w:rPr>
          <w:sz w:val="26"/>
          <w:szCs w:val="26"/>
        </w:rPr>
      </w:r>
    </w:p>
    <w:p>
      <w:pPr>
        <w:ind w:left="0" w:right="0" w:firstLine="0"/>
        <w:spacing w:before="300" w:after="0"/>
        <w:rPr>
          <w:sz w:val="26"/>
          <w:szCs w:val="26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 xml:space="preserve">Методическое пособие актуализировано в связи с поправками в Земельный и Налоговый кодексы РФ, а также вступлением в силу закона о гаражных объединениях.</w:t>
      </w:r>
      <w:r>
        <w:rPr>
          <w:sz w:val="26"/>
          <w:szCs w:val="26"/>
        </w:rPr>
      </w:r>
    </w:p>
    <w:p>
      <w:pPr>
        <w:ind w:left="0" w:right="0" w:firstLine="0"/>
        <w:spacing w:before="300" w:after="0"/>
        <w:rPr>
          <w:sz w:val="26"/>
          <w:szCs w:val="26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 xml:space="preserve">Как и прежде, воспользоваться гаражной амнистией возможно, если гараж является капитальным, не считается самовольной постройкой и был построен до введения в действие Градостроительного кодекса РФ (до 29 декабря 2004 года).</w:t>
      </w:r>
      <w:r>
        <w:rPr>
          <w:sz w:val="26"/>
          <w:szCs w:val="26"/>
        </w:rPr>
      </w:r>
    </w:p>
    <w:p>
      <w:pPr>
        <w:ind w:left="0" w:right="0" w:firstLine="0"/>
        <w:spacing w:before="300" w:after="0"/>
        <w:rPr>
          <w:sz w:val="26"/>
          <w:szCs w:val="26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 xml:space="preserve">При этом уточнить информацию о кадастровом учете участка под гаражом граждане теперь могут с помощью цифровой платформы «Национальная система пространственных данных». Подготовка схемы расположения земельного участка на кадастровом плане территории возможн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 xml:space="preserve">а при наличии утвержденного проекта межевания, при этом его отсутствие не является препятствием. Образование нового земельного участка под гаражом допускается без согласия арендаторов исходного участка, если он предоставлен в аренду сразу несколькими лицам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 xml:space="preserve">и.</w:t>
      </w:r>
      <w:r>
        <w:rPr>
          <w:sz w:val="26"/>
          <w:szCs w:val="26"/>
        </w:rPr>
      </w:r>
    </w:p>
    <w:p>
      <w:pPr>
        <w:ind w:left="0" w:right="0" w:firstLine="0"/>
        <w:spacing w:before="300" w:after="0"/>
        <w:rPr>
          <w:sz w:val="26"/>
          <w:szCs w:val="26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 xml:space="preserve">Кроме того, отменена обязанность предоставления технического плана гаража, если в Едином государственном реестре недвижимости уже есть сведения о нем. И наконец, срок рассмотрения заявления о предварительном согласовании предоставления земельного участка с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 xml:space="preserve">окращен с 30 до 20 дней.</w:t>
      </w:r>
      <w:r/>
      <w:r>
        <w:rPr>
          <w:rFonts w:ascii="Times New Roman" w:hAnsi="Times New Roman" w:eastAsia="Times New Roman" w:cs="Times New Roman"/>
          <w:sz w:val="26"/>
          <w:szCs w:val="26"/>
        </w:rPr>
      </w:r>
      <w:r>
        <w:rPr>
          <w:rFonts w:ascii="Times New Roman" w:hAnsi="Times New Roman" w:eastAsia="Times New Roman" w:cs="Times New Roman"/>
          <w:sz w:val="24"/>
        </w:rPr>
      </w:r>
      <w:r/>
      <w:r>
        <w:rPr>
          <w:rFonts w:ascii="Times New Roman" w:hAnsi="Times New Roman" w:eastAsia="Times New Roman" w:cs="Times New Roman"/>
          <w:sz w:val="26"/>
          <w:szCs w:val="26"/>
        </w:rPr>
      </w:r>
      <w:r>
        <w:rPr>
          <w:rFonts w:ascii="Times New Roman" w:hAnsi="Times New Roman" w:eastAsia="Times New Roman" w:cs="Times New Roman"/>
          <w:sz w:val="24"/>
        </w:rPr>
      </w:r>
      <w:r/>
      <w:r>
        <w:rPr>
          <w:rFonts w:ascii="Times New Roman" w:hAnsi="Times New Roman" w:eastAsia="Times New Roman" w:cs="Times New Roman"/>
          <w:sz w:val="26"/>
          <w:szCs w:val="26"/>
        </w:rPr>
      </w:r>
      <w:r>
        <w:rPr>
          <w:sz w:val="21"/>
        </w:rPr>
      </w:r>
      <w:r/>
      <w:r>
        <w:rPr>
          <w:rFonts w:ascii="Times New Roman" w:hAnsi="Times New Roman" w:eastAsia="Times New Roman" w:cs="Times New Roman"/>
          <w:sz w:val="26"/>
          <w:szCs w:val="26"/>
        </w:rPr>
      </w:r>
      <w:r/>
      <w:r/>
      <w:r>
        <w:rPr>
          <w:rFonts w:ascii="Times New Roman" w:hAnsi="Times New Roman" w:eastAsia="Times New Roman" w:cs="Times New Roman"/>
          <w:sz w:val="26"/>
          <w:szCs w:val="26"/>
        </w:rPr>
      </w:r>
      <w:r/>
      <w:bookmarkStart w:id="0" w:name="_GoBack"/>
      <w:r/>
      <w:bookmarkEnd w:id="0"/>
      <w:r/>
      <w:r/>
      <w:r>
        <w:rPr>
          <w:rFonts w:ascii="Times New Roman" w:hAnsi="Times New Roman" w:eastAsia="Times New Roman" w:cs="Times New Roman"/>
          <w:sz w:val="26"/>
          <w:szCs w:val="26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Tinos">
    <w:panose1 w:val="02020603050405020304"/>
  </w:font>
  <w:font w:name="Liberation Sans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4">
    <w:name w:val="Heading 1"/>
    <w:basedOn w:val="618"/>
    <w:next w:val="618"/>
    <w:link w:val="15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15">
    <w:name w:val="Heading 1 Char"/>
    <w:basedOn w:val="619"/>
    <w:link w:val="14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16">
    <w:name w:val="Heading 2"/>
    <w:basedOn w:val="618"/>
    <w:next w:val="618"/>
    <w:link w:val="17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17">
    <w:name w:val="Heading 2 Char"/>
    <w:basedOn w:val="619"/>
    <w:link w:val="16"/>
    <w:uiPriority w:val="9"/>
    <w:rPr>
      <w:rFonts w:ascii="Liberation Sans" w:hAnsi="Liberation Sans" w:eastAsia="Liberation Sans" w:cs="Liberation Sans"/>
      <w:sz w:val="34"/>
    </w:rPr>
  </w:style>
  <w:style w:type="paragraph" w:styleId="18">
    <w:name w:val="Heading 3"/>
    <w:basedOn w:val="618"/>
    <w:next w:val="618"/>
    <w:link w:val="19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19">
    <w:name w:val="Heading 3 Char"/>
    <w:basedOn w:val="619"/>
    <w:link w:val="18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20">
    <w:name w:val="Heading 4"/>
    <w:basedOn w:val="618"/>
    <w:next w:val="618"/>
    <w:link w:val="21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21">
    <w:name w:val="Heading 4 Char"/>
    <w:basedOn w:val="619"/>
    <w:link w:val="20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22">
    <w:name w:val="Heading 5"/>
    <w:basedOn w:val="618"/>
    <w:next w:val="618"/>
    <w:link w:val="23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23">
    <w:name w:val="Heading 5 Char"/>
    <w:basedOn w:val="619"/>
    <w:link w:val="22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24">
    <w:name w:val="Heading 6"/>
    <w:basedOn w:val="618"/>
    <w:next w:val="618"/>
    <w:link w:val="25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25">
    <w:name w:val="Heading 6 Char"/>
    <w:basedOn w:val="619"/>
    <w:link w:val="24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26">
    <w:name w:val="Heading 7"/>
    <w:basedOn w:val="618"/>
    <w:next w:val="618"/>
    <w:link w:val="27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7">
    <w:name w:val="Heading 7 Char"/>
    <w:basedOn w:val="619"/>
    <w:link w:val="26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28">
    <w:name w:val="Heading 8"/>
    <w:basedOn w:val="618"/>
    <w:next w:val="618"/>
    <w:link w:val="29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29">
    <w:name w:val="Heading 8 Char"/>
    <w:basedOn w:val="619"/>
    <w:link w:val="28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30">
    <w:name w:val="Heading 9"/>
    <w:basedOn w:val="618"/>
    <w:next w:val="618"/>
    <w:link w:val="31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31">
    <w:name w:val="Heading 9 Char"/>
    <w:basedOn w:val="619"/>
    <w:link w:val="30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32">
    <w:name w:val="List Paragraph"/>
    <w:basedOn w:val="618"/>
    <w:uiPriority w:val="34"/>
    <w:qFormat/>
    <w:pPr>
      <w:contextualSpacing/>
      <w:ind w:left="720"/>
    </w:pPr>
  </w:style>
  <w:style w:type="paragraph" w:styleId="34">
    <w:name w:val="No Spacing"/>
    <w:uiPriority w:val="1"/>
    <w:qFormat/>
    <w:pPr>
      <w:spacing w:before="0" w:after="0" w:line="240" w:lineRule="auto"/>
    </w:pPr>
  </w:style>
  <w:style w:type="paragraph" w:styleId="35">
    <w:name w:val="Title"/>
    <w:basedOn w:val="618"/>
    <w:next w:val="618"/>
    <w:link w:val="3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6">
    <w:name w:val="Title Char"/>
    <w:basedOn w:val="619"/>
    <w:link w:val="35"/>
    <w:uiPriority w:val="10"/>
    <w:rPr>
      <w:sz w:val="48"/>
      <w:szCs w:val="48"/>
    </w:rPr>
  </w:style>
  <w:style w:type="paragraph" w:styleId="37">
    <w:name w:val="Subtitle"/>
    <w:basedOn w:val="618"/>
    <w:next w:val="618"/>
    <w:link w:val="38"/>
    <w:uiPriority w:val="11"/>
    <w:qFormat/>
    <w:pPr>
      <w:spacing w:before="200" w:after="200"/>
    </w:pPr>
    <w:rPr>
      <w:sz w:val="24"/>
      <w:szCs w:val="24"/>
    </w:rPr>
  </w:style>
  <w:style w:type="character" w:styleId="38">
    <w:name w:val="Subtitle Char"/>
    <w:basedOn w:val="619"/>
    <w:link w:val="37"/>
    <w:uiPriority w:val="11"/>
    <w:rPr>
      <w:sz w:val="24"/>
      <w:szCs w:val="24"/>
    </w:rPr>
  </w:style>
  <w:style w:type="paragraph" w:styleId="39">
    <w:name w:val="Quote"/>
    <w:basedOn w:val="618"/>
    <w:next w:val="618"/>
    <w:link w:val="40"/>
    <w:uiPriority w:val="29"/>
    <w:qFormat/>
    <w:pPr>
      <w:ind w:left="720" w:right="720"/>
    </w:pPr>
    <w:rPr>
      <w:i/>
    </w:rPr>
  </w:style>
  <w:style w:type="character" w:styleId="40">
    <w:name w:val="Quote Char"/>
    <w:link w:val="39"/>
    <w:uiPriority w:val="29"/>
    <w:rPr>
      <w:i/>
    </w:rPr>
  </w:style>
  <w:style w:type="paragraph" w:styleId="41">
    <w:name w:val="Intense Quote"/>
    <w:basedOn w:val="618"/>
    <w:next w:val="618"/>
    <w:link w:val="4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2">
    <w:name w:val="Intense Quote Char"/>
    <w:link w:val="41"/>
    <w:uiPriority w:val="30"/>
    <w:rPr>
      <w:i/>
    </w:rPr>
  </w:style>
  <w:style w:type="paragraph" w:styleId="43">
    <w:name w:val="Header"/>
    <w:basedOn w:val="618"/>
    <w:link w:val="4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Header Char"/>
    <w:basedOn w:val="619"/>
    <w:link w:val="43"/>
    <w:uiPriority w:val="99"/>
  </w:style>
  <w:style w:type="paragraph" w:styleId="45">
    <w:name w:val="Footer"/>
    <w:basedOn w:val="618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6">
    <w:name w:val="Footer Char"/>
    <w:basedOn w:val="619"/>
    <w:link w:val="45"/>
    <w:uiPriority w:val="99"/>
  </w:style>
  <w:style w:type="paragraph" w:styleId="47">
    <w:name w:val="Caption"/>
    <w:basedOn w:val="618"/>
    <w:next w:val="618"/>
    <w:link w:val="4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8">
    <w:name w:val="Caption Char"/>
    <w:basedOn w:val="619"/>
    <w:link w:val="47"/>
    <w:uiPriority w:val="35"/>
    <w:rPr>
      <w:b/>
      <w:bCs/>
      <w:color w:val="4f81bd" w:themeColor="accent1"/>
      <w:sz w:val="18"/>
      <w:szCs w:val="18"/>
    </w:rPr>
  </w:style>
  <w:style w:type="table" w:styleId="49">
    <w:name w:val="Table Grid"/>
    <w:basedOn w:val="620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Table Grid Light"/>
    <w:basedOn w:val="62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1">
    <w:name w:val="Plain Table 1"/>
    <w:basedOn w:val="62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2">
    <w:name w:val="Plain Table 2"/>
    <w:basedOn w:val="620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3">
    <w:name w:val="Plain Table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4">
    <w:name w:val="Plain Table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Plain Table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6">
    <w:name w:val="Grid Table 1 Light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1 Light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">
    <w:name w:val="Grid Table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2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3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">
    <w:name w:val="Grid Table 4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">
    <w:name w:val="Grid Table 4 - Accent 1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">
    <w:name w:val="Grid Table 4 - Accent 2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">
    <w:name w:val="Grid Table 4 - Accent 3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">
    <w:name w:val="Grid Table 4 - Accent 4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2">
    <w:name w:val="Grid Table 4 - Accent 5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3">
    <w:name w:val="Grid Table 4 - Accent 6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4">
    <w:name w:val="Grid Table 5 Dark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5">
    <w:name w:val="Grid Table 5 Dark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8">
    <w:name w:val="Grid Table 5 Dark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90">
    <w:name w:val="Grid Table 5 Dark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1">
    <w:name w:val="Grid Table 6 Colorful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92">
    <w:name w:val="Grid Table 6 Colorful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93">
    <w:name w:val="Grid Table 6 Colorful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94">
    <w:name w:val="Grid Table 6 Colorful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95">
    <w:name w:val="Grid Table 6 Colorful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96">
    <w:name w:val="Grid Table 6 Colorful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7">
    <w:name w:val="Grid Table 6 Colorful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8">
    <w:name w:val="Grid Table 7 Colorful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Liberation Sans" w:hAnsi="Liberation Sans"/>
        <w:color w:val="317bba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606060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Liberation Sans" w:hAnsi="Liberation Sans"/>
        <w:color w:val="254374" w:themeColor="accent5" w:themeShade="95"/>
        <w:sz w:val="22"/>
      </w:rPr>
    </w:tblStylePr>
    <w:tblStylePr w:type="firstCol">
      <w:rPr>
        <w:rFonts w:ascii="Liberation Sans" w:hAnsi="Liberation Sans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4">
    <w:name w:val="Grid Table 7 Colorful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26429" w:themeColor="accent6" w:themeShade="95"/>
        <w:sz w:val="22"/>
      </w:rPr>
    </w:tblStylePr>
    <w:tblStylePr w:type="firstCol">
      <w:rPr>
        <w:rFonts w:ascii="Liberation Sans" w:hAnsi="Liberation Sans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5">
    <w:name w:val="List Table 1 Light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1 Light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">
    <w:name w:val="List Table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3">
    <w:name w:val="List Table 2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4">
    <w:name w:val="List Table 2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5">
    <w:name w:val="List Table 2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6">
    <w:name w:val="List Table 2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7">
    <w:name w:val="List Table 2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8">
    <w:name w:val="List Table 2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9">
    <w:name w:val="List Table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3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4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3">
    <w:name w:val="List Table 5 Dark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4">
    <w:name w:val="List Table 5 Dark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5">
    <w:name w:val="List Table 5 Dark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6">
    <w:name w:val="List Table 5 Dark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7">
    <w:name w:val="List Table 5 Dark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8">
    <w:name w:val="List Table 5 Dark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9">
    <w:name w:val="List Table 5 Dark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0">
    <w:name w:val="List Table 6 Colorful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1">
    <w:name w:val="List Table 6 Colorful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2">
    <w:name w:val="List Table 6 Colorful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3">
    <w:name w:val="List Table 6 Colorful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4">
    <w:name w:val="List Table 6 Colorful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5">
    <w:name w:val="List Table 6 Colorful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6">
    <w:name w:val="List Table 6 Colorful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7">
    <w:name w:val="List Table 7 Colorful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148">
    <w:name w:val="List Table 7 Colorful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Liberation Sans" w:hAnsi="Liberation Sans"/>
        <w:color w:val="245d8d" w:themeColor="accent1" w:themeShade="95"/>
        <w:sz w:val="22"/>
      </w:rPr>
    </w:tblStylePr>
    <w:tblStylePr w:type="firstCol">
      <w:rPr>
        <w:rFonts w:ascii="Liberation Sans" w:hAnsi="Liberation Sans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45d8d" w:themeColor="accent1" w:themeShade="95"/>
        <w:sz w:val="22"/>
      </w:rPr>
    </w:tblStylePr>
  </w:style>
  <w:style w:type="table" w:styleId="149">
    <w:name w:val="List Table 7 Colorful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c95712" w:themeColor="accent2" w:themeTint="97" w:themeShade="95"/>
        <w:sz w:val="22"/>
      </w:rPr>
    </w:tblStylePr>
  </w:style>
  <w:style w:type="table" w:styleId="150">
    <w:name w:val="List Table 7 Colorful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757575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757575" w:themeColor="accent3" w:themeTint="98" w:themeShade="95"/>
        <w:sz w:val="22"/>
      </w:rPr>
    </w:tblStylePr>
  </w:style>
  <w:style w:type="table" w:styleId="151">
    <w:name w:val="List Table 7 Colorful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cd9600" w:themeColor="accent4" w:themeTint="9A" w:themeShade="95"/>
        <w:sz w:val="22"/>
      </w:rPr>
    </w:tblStylePr>
  </w:style>
  <w:style w:type="table" w:styleId="152">
    <w:name w:val="List Table 7 Colorful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Liberation Sans" w:hAnsi="Liberation Sans"/>
        <w:color w:val="335e9e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335e9e" w:themeColor="accent5" w:themeTint="9A" w:themeShade="95"/>
        <w:sz w:val="22"/>
      </w:rPr>
    </w:tblStylePr>
  </w:style>
  <w:style w:type="table" w:styleId="153">
    <w:name w:val="List Table 7 Colorful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5f8f3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5f8f3c" w:themeColor="accent6" w:themeTint="98" w:themeShade="95"/>
        <w:sz w:val="22"/>
      </w:rPr>
    </w:tblStylePr>
  </w:style>
  <w:style w:type="table" w:styleId="154">
    <w:name w:val="Lined - Accent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5">
    <w:name w:val="Lined - Accent 1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6">
    <w:name w:val="Lined - Accent 2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7">
    <w:name w:val="Lined - Accent 3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8">
    <w:name w:val="Lined - Accent 4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9">
    <w:name w:val="Lined - Accent 5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0">
    <w:name w:val="Lined - Accent 6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1">
    <w:name w:val="Bordered &amp; Lined - Accent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2">
    <w:name w:val="Bordered &amp; Lined - Accent 1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3">
    <w:name w:val="Bordered &amp; Lined - Accent 2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4">
    <w:name w:val="Bordered &amp; Lined - Accent 3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5">
    <w:name w:val="Bordered &amp; Lined - Accent 4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6">
    <w:name w:val="Bordered &amp; Lined - Accent 5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7">
    <w:name w:val="Bordered &amp; Lined - Accent 6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8">
    <w:name w:val="Bordered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9">
    <w:name w:val="Bordered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70">
    <w:name w:val="Bordered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1">
    <w:name w:val="Bordered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2">
    <w:name w:val="Bordered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3">
    <w:name w:val="Bordered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4">
    <w:name w:val="Bordered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5">
    <w:name w:val="Hyperlink"/>
    <w:uiPriority w:val="99"/>
    <w:unhideWhenUsed/>
    <w:rPr>
      <w:color w:val="0000ff" w:themeColor="hyperlink"/>
      <w:u w:val="single"/>
    </w:rPr>
  </w:style>
  <w:style w:type="paragraph" w:styleId="176">
    <w:name w:val="footnote text"/>
    <w:basedOn w:val="618"/>
    <w:link w:val="177"/>
    <w:uiPriority w:val="99"/>
    <w:semiHidden/>
    <w:unhideWhenUsed/>
    <w:pPr>
      <w:spacing w:after="40" w:line="240" w:lineRule="auto"/>
    </w:pPr>
    <w:rPr>
      <w:sz w:val="18"/>
    </w:rPr>
  </w:style>
  <w:style w:type="character" w:styleId="177">
    <w:name w:val="Footnote Text Char"/>
    <w:link w:val="176"/>
    <w:uiPriority w:val="99"/>
    <w:rPr>
      <w:sz w:val="18"/>
    </w:rPr>
  </w:style>
  <w:style w:type="character" w:styleId="178">
    <w:name w:val="footnote reference"/>
    <w:basedOn w:val="619"/>
    <w:uiPriority w:val="99"/>
    <w:unhideWhenUsed/>
    <w:rPr>
      <w:vertAlign w:val="superscript"/>
    </w:rPr>
  </w:style>
  <w:style w:type="paragraph" w:styleId="179">
    <w:name w:val="endnote text"/>
    <w:basedOn w:val="618"/>
    <w:link w:val="180"/>
    <w:uiPriority w:val="99"/>
    <w:semiHidden/>
    <w:unhideWhenUsed/>
    <w:pPr>
      <w:spacing w:after="0" w:line="240" w:lineRule="auto"/>
    </w:pPr>
    <w:rPr>
      <w:sz w:val="20"/>
    </w:rPr>
  </w:style>
  <w:style w:type="character" w:styleId="180">
    <w:name w:val="Endnote Text Char"/>
    <w:link w:val="179"/>
    <w:uiPriority w:val="99"/>
    <w:rPr>
      <w:sz w:val="20"/>
    </w:rPr>
  </w:style>
  <w:style w:type="character" w:styleId="181">
    <w:name w:val="endnote reference"/>
    <w:basedOn w:val="619"/>
    <w:uiPriority w:val="99"/>
    <w:semiHidden/>
    <w:unhideWhenUsed/>
    <w:rPr>
      <w:vertAlign w:val="superscript"/>
    </w:rPr>
  </w:style>
  <w:style w:type="paragraph" w:styleId="182">
    <w:name w:val="toc 1"/>
    <w:basedOn w:val="618"/>
    <w:next w:val="618"/>
    <w:uiPriority w:val="39"/>
    <w:unhideWhenUsed/>
    <w:pPr>
      <w:ind w:left="0" w:right="0" w:firstLine="0"/>
      <w:spacing w:after="57"/>
    </w:pPr>
  </w:style>
  <w:style w:type="paragraph" w:styleId="183">
    <w:name w:val="toc 2"/>
    <w:basedOn w:val="618"/>
    <w:next w:val="618"/>
    <w:uiPriority w:val="39"/>
    <w:unhideWhenUsed/>
    <w:pPr>
      <w:ind w:left="283" w:right="0" w:firstLine="0"/>
      <w:spacing w:after="57"/>
    </w:pPr>
  </w:style>
  <w:style w:type="paragraph" w:styleId="184">
    <w:name w:val="toc 3"/>
    <w:basedOn w:val="618"/>
    <w:next w:val="618"/>
    <w:uiPriority w:val="39"/>
    <w:unhideWhenUsed/>
    <w:pPr>
      <w:ind w:left="567" w:right="0" w:firstLine="0"/>
      <w:spacing w:after="57"/>
    </w:pPr>
  </w:style>
  <w:style w:type="paragraph" w:styleId="185">
    <w:name w:val="toc 4"/>
    <w:basedOn w:val="618"/>
    <w:next w:val="618"/>
    <w:uiPriority w:val="39"/>
    <w:unhideWhenUsed/>
    <w:pPr>
      <w:ind w:left="850" w:right="0" w:firstLine="0"/>
      <w:spacing w:after="57"/>
    </w:pPr>
  </w:style>
  <w:style w:type="paragraph" w:styleId="186">
    <w:name w:val="toc 5"/>
    <w:basedOn w:val="618"/>
    <w:next w:val="618"/>
    <w:uiPriority w:val="39"/>
    <w:unhideWhenUsed/>
    <w:pPr>
      <w:ind w:left="1134" w:right="0" w:firstLine="0"/>
      <w:spacing w:after="57"/>
    </w:pPr>
  </w:style>
  <w:style w:type="paragraph" w:styleId="187">
    <w:name w:val="toc 6"/>
    <w:basedOn w:val="618"/>
    <w:next w:val="618"/>
    <w:uiPriority w:val="39"/>
    <w:unhideWhenUsed/>
    <w:pPr>
      <w:ind w:left="1417" w:right="0" w:firstLine="0"/>
      <w:spacing w:after="57"/>
    </w:pPr>
  </w:style>
  <w:style w:type="paragraph" w:styleId="188">
    <w:name w:val="toc 7"/>
    <w:basedOn w:val="618"/>
    <w:next w:val="618"/>
    <w:uiPriority w:val="39"/>
    <w:unhideWhenUsed/>
    <w:pPr>
      <w:ind w:left="1701" w:right="0" w:firstLine="0"/>
      <w:spacing w:after="57"/>
    </w:pPr>
  </w:style>
  <w:style w:type="paragraph" w:styleId="189">
    <w:name w:val="toc 8"/>
    <w:basedOn w:val="618"/>
    <w:next w:val="618"/>
    <w:uiPriority w:val="39"/>
    <w:unhideWhenUsed/>
    <w:pPr>
      <w:ind w:left="1984" w:right="0" w:firstLine="0"/>
      <w:spacing w:after="57"/>
    </w:pPr>
  </w:style>
  <w:style w:type="paragraph" w:styleId="190">
    <w:name w:val="toc 9"/>
    <w:basedOn w:val="618"/>
    <w:next w:val="618"/>
    <w:uiPriority w:val="39"/>
    <w:unhideWhenUsed/>
    <w:pPr>
      <w:ind w:left="2268" w:right="0" w:firstLine="0"/>
      <w:spacing w:after="57"/>
    </w:pPr>
  </w:style>
  <w:style w:type="paragraph" w:styleId="191">
    <w:name w:val="TOC Heading"/>
    <w:uiPriority w:val="39"/>
    <w:unhideWhenUsed/>
  </w:style>
  <w:style w:type="paragraph" w:styleId="192">
    <w:name w:val="table of figures"/>
    <w:basedOn w:val="618"/>
    <w:next w:val="618"/>
    <w:uiPriority w:val="99"/>
    <w:unhideWhenUsed/>
    <w:pPr>
      <w:spacing w:after="0" w:afterAutospacing="0"/>
    </w:pPr>
  </w:style>
  <w:style w:type="paragraph" w:styleId="618" w:default="1">
    <w:name w:val="Normal"/>
    <w:qFormat/>
  </w:style>
  <w:style w:type="character" w:styleId="619" w:default="1">
    <w:name w:val="Default Paragraph Font"/>
    <w:uiPriority w:val="1"/>
    <w:semiHidden/>
    <w:unhideWhenUsed/>
  </w:style>
  <w:style w:type="table" w:styleId="620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1" w:default="1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v.mamontov</cp:lastModifiedBy>
  <cp:revision>3</cp:revision>
  <dcterms:created xsi:type="dcterms:W3CDTF">2024-07-26T09:13:00Z</dcterms:created>
  <dcterms:modified xsi:type="dcterms:W3CDTF">2026-07-28T08:35:37Z</dcterms:modified>
</cp:coreProperties>
</file>