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left="0" w:right="0" w:firstLine="0"/>
        <w:jc w:val="center"/>
        <w:spacing w:before="0" w:after="0" w:line="1008" w:lineRule="atLeast"/>
        <w:rPr>
          <w:rFonts w:ascii="Tinos" w:hAnsi="Tinos" w:cs="Tinos"/>
          <w:b/>
          <w:bCs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bCs/>
          <w:sz w:val="28"/>
          <w:szCs w:val="28"/>
          <w:highlight w:val="none"/>
        </w:rPr>
        <w:t xml:space="preserve">Обременение ипотеки</w:t>
      </w:r>
      <w:r>
        <w:rPr>
          <w:rFonts w:ascii="Tinos" w:hAnsi="Tinos" w:eastAsia="Tinos" w:cs="Tinos"/>
          <w:b/>
          <w:bCs/>
          <w:sz w:val="28"/>
          <w:szCs w:val="28"/>
          <w:highlight w:val="none"/>
        </w:rPr>
      </w:r>
      <w:r>
        <w:rPr>
          <w:rFonts w:ascii="Tinos" w:hAnsi="Tinos" w:cs="Tinos"/>
          <w:b/>
          <w:bCs/>
          <w:sz w:val="28"/>
          <w:szCs w:val="28"/>
        </w:rPr>
      </w:r>
    </w:p>
    <w:p>
      <w:pPr>
        <w:ind w:left="-425" w:right="0" w:firstLine="0"/>
        <w:jc w:val="both"/>
        <w:spacing w:before="300" w:after="0" w:line="240" w:lineRule="auto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При покупке квартиры в ипотеку в Единый государственный реестр недвижимости (ЕГРН) вносится отметка с указанием об ограничении (обременении). До тех пор, пока кредит не погашен, квартира, купленная в ипотеку, находится в залоге у банка. Росреест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р разъясняет, как снять обременение на недвижимость после выплаты займа.</w:t>
      </w:r>
      <w:r>
        <w:rPr>
          <w:rFonts w:ascii="Tinos" w:hAnsi="Tinos" w:cs="Tinos"/>
          <w:sz w:val="28"/>
          <w:szCs w:val="28"/>
        </w:rPr>
      </w:r>
    </w:p>
    <w:p>
      <w:pPr>
        <w:ind w:left="-425" w:right="0" w:firstLine="0"/>
        <w:jc w:val="both"/>
        <w:spacing w:before="300" w:after="0" w:line="240" w:lineRule="auto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По факту выполненных обязательств по кредитному договору и получения справки из  банка, не нужно самостоятельно направлять ее в Росреестр. Законом предусмотрено, что кре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дитная организация может самостоятельно обратиться за погашением записи об ипотечном обременении. В течение </w:t>
      </w:r>
      <w:r>
        <w:rPr>
          <w:rFonts w:ascii="Tinos" w:hAnsi="Tinos" w:eastAsia="Tinos" w:cs="Tinos"/>
          <w:b/>
          <w:color w:val="292c2f"/>
          <w:sz w:val="28"/>
          <w:szCs w:val="28"/>
        </w:rPr>
        <w:t xml:space="preserve">3-х рабочих дней 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с момента получения обращения Росреестром госрегистратор аннулирует обременение. После завершения процедуры банк проинформирует собственника о том, что ограничение прав снято.</w:t>
      </w:r>
      <w:r>
        <w:rPr>
          <w:rFonts w:ascii="Tinos" w:hAnsi="Tinos" w:cs="Tinos"/>
          <w:sz w:val="28"/>
          <w:szCs w:val="28"/>
        </w:rPr>
      </w:r>
    </w:p>
    <w:p>
      <w:pPr>
        <w:ind w:left="-425" w:right="0" w:firstLine="0"/>
        <w:jc w:val="both"/>
        <w:spacing w:before="300" w:after="0" w:line="240" w:lineRule="auto"/>
        <w:rPr>
          <w:rFonts w:ascii="Tinos" w:hAnsi="Tinos" w:eastAsia="Tinos" w:cs="Tinos"/>
          <w:b/>
          <w:bCs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i w:val="0"/>
          <w:iCs w:val="0"/>
          <w:color w:val="292c2f"/>
          <w:sz w:val="28"/>
          <w:szCs w:val="28"/>
        </w:rPr>
        <w:t xml:space="preserve">Бумажная закладная на квартиру – это не просто формальность, а важнейший документ, подтверждающий, что ваше жилье находится в залоге у финансовой организации. В случае, если вы получили бумажный оригинал закладной, помните: после полного и безупречного ис</w:t>
      </w:r>
      <w:r>
        <w:rPr>
          <w:rFonts w:ascii="Tinos" w:hAnsi="Tinos" w:eastAsia="Tinos" w:cs="Tinos"/>
          <w:i w:val="0"/>
          <w:iCs w:val="0"/>
          <w:color w:val="292c2f"/>
          <w:sz w:val="28"/>
          <w:szCs w:val="28"/>
        </w:rPr>
        <w:t xml:space="preserve">полнения всех обязательств по кредитному договору, банк обязан вернуть вам этот документ с официальной отметкой о погашении. Именно этот оригинал закладной, в сочетании с заявлением, становится основанием для аннулирования записи об ипотеке в государственн</w:t>
      </w:r>
      <w:r>
        <w:rPr>
          <w:rFonts w:ascii="Tinos" w:hAnsi="Tinos" w:eastAsia="Tinos" w:cs="Tinos"/>
          <w:i w:val="0"/>
          <w:iCs w:val="0"/>
          <w:color w:val="292c2f"/>
          <w:sz w:val="28"/>
          <w:szCs w:val="28"/>
        </w:rPr>
        <w:t xml:space="preserve">ом реестре.</w:t>
      </w:r>
      <w:r>
        <w:rPr>
          <w:rFonts w:ascii="Tinos" w:hAnsi="Tinos" w:eastAsia="Tinos" w:cs="Tinos"/>
          <w:b/>
          <w:color w:val="292c2f"/>
          <w:sz w:val="28"/>
          <w:szCs w:val="28"/>
        </w:rPr>
      </w:r>
      <w:r>
        <w:rPr>
          <w:rFonts w:ascii="Tinos" w:hAnsi="Tinos" w:cs="Tinos"/>
          <w:sz w:val="28"/>
          <w:szCs w:val="28"/>
        </w:rPr>
      </w:r>
    </w:p>
    <w:p>
      <w:pPr>
        <w:ind w:left="-425" w:right="0" w:firstLine="0"/>
        <w:jc w:val="both"/>
        <w:spacing w:before="300" w:after="0" w:line="240" w:lineRule="auto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b/>
          <w:color w:val="292c2f"/>
          <w:sz w:val="28"/>
          <w:szCs w:val="28"/>
        </w:rPr>
        <w:t xml:space="preserve">Можно ли купить квартиру, на которую наложено обременение в виде ипотеки?</w:t>
        <w:br/>
      </w:r>
      <w:r>
        <w:rPr>
          <w:rFonts w:ascii="Tinos" w:hAnsi="Tinos" w:eastAsia="Tinos" w:cs="Tinos"/>
          <w:color w:val="292c2f"/>
          <w:sz w:val="28"/>
          <w:szCs w:val="28"/>
        </w:rPr>
        <w:t xml:space="preserve">Купить недвижимость с обременением ипотеки возможно при наличии письменного согласия банка. В этом случае новому собственнику переходят все обязательства по выплате кредита.</w:t>
      </w:r>
      <w:r>
        <w:rPr>
          <w:rFonts w:ascii="Tinos" w:hAnsi="Tinos" w:cs="Tinos"/>
          <w:sz w:val="28"/>
          <w:szCs w:val="28"/>
        </w:rPr>
      </w:r>
    </w:p>
    <w:p>
      <w:pPr>
        <w:ind w:left="-425" w:right="0" w:firstLine="0"/>
        <w:jc w:val="both"/>
        <w:spacing w:before="300" w:after="0" w:line="240" w:lineRule="auto"/>
        <w:rPr>
          <w:rFonts w:ascii="Tinos" w:hAnsi="Tinos" w:eastAsia="Tinos" w:cs="Tinos"/>
          <w:color w:val="292c2f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292c2f"/>
          <w:sz w:val="28"/>
          <w:szCs w:val="28"/>
        </w:rPr>
        <w:t xml:space="preserve">В случае, если при покупке жилья, в том числе в ипотеку, использовался материнский капитал, квартира должна быть переоформлена на всех членов семьи (родителей и всех несовершеннолетних детей) и не может продаваться без разрешения органов опеки и попечитель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ства. Стоит запросить у продавца разрешение от органов опеки и попечительства, а также справку из Фонда пенсионного и социального страхования об остатке средств на сертификате на материнский капитал.  Узнать информацию о долях собственников также можно в в</w:t>
      </w:r>
      <w:r>
        <w:rPr>
          <w:rFonts w:ascii="Tinos" w:hAnsi="Tinos" w:eastAsia="Tinos" w:cs="Tinos"/>
          <w:color w:val="292c2f"/>
          <w:sz w:val="28"/>
          <w:szCs w:val="28"/>
        </w:rPr>
        <w:t xml:space="preserve">ыписке из ЕГРН.</w:t>
      </w:r>
      <w:r>
        <w:rPr>
          <w:rFonts w:ascii="Tinos" w:hAnsi="Tinos" w:cs="Tinos"/>
          <w:sz w:val="28"/>
          <w:szCs w:val="28"/>
        </w:rPr>
      </w:r>
    </w:p>
    <w:p>
      <w:pPr>
        <w:ind w:left="-425" w:right="0" w:firstLine="0"/>
        <w:jc w:val="both"/>
        <w:spacing w:before="300" w:after="0" w:line="240" w:lineRule="auto"/>
        <w:rPr>
          <w:rFonts w:ascii="Tinos" w:hAnsi="Tinos" w:cs="Tinos"/>
          <w:color w:val="000000" w:themeColor="text1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Напоминаем, что </w:t>
      </w:r>
      <w:r>
        <w:rPr>
          <w:rFonts w:ascii="Tinos" w:hAnsi="Tinos" w:eastAsia="Tinos" w:cs="Tinos"/>
          <w:b/>
          <w:color w:val="000000" w:themeColor="text1"/>
          <w:sz w:val="28"/>
          <w:szCs w:val="28"/>
        </w:rPr>
        <w:t xml:space="preserve">заказать выписку из Единого государственного реестра недвижимости</w:t>
      </w:r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 можно на официальном сайте </w:t>
      </w:r>
      <w:hyperlink r:id="rId8" w:tooltip="https://rosreestr.gov.ru/eservices/" w:history="1">
        <w:r>
          <w:rPr>
            <w:rStyle w:val="813"/>
            <w:rFonts w:ascii="Tinos" w:hAnsi="Tinos" w:eastAsia="Tinos" w:cs="Tinos"/>
            <w:color w:val="000000" w:themeColor="text1"/>
            <w:sz w:val="28"/>
            <w:szCs w:val="28"/>
            <w:u w:val="single"/>
          </w:rPr>
          <w:t xml:space="preserve">Росреестра</w:t>
        </w:r>
      </w:hyperlink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, на портале </w:t>
      </w:r>
      <w:hyperlink r:id="rId9" w:tooltip="https://www.gosuslugi.ru/" w:history="1">
        <w:r>
          <w:rPr>
            <w:rStyle w:val="813"/>
            <w:rFonts w:ascii="Tinos" w:hAnsi="Tinos" w:eastAsia="Tinos" w:cs="Tinos"/>
            <w:color w:val="000000" w:themeColor="text1"/>
            <w:sz w:val="28"/>
            <w:szCs w:val="28"/>
            <w:u w:val="single"/>
          </w:rPr>
          <w:t xml:space="preserve">Госуслуг</w:t>
        </w:r>
      </w:hyperlink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, на сайте </w:t>
      </w:r>
      <w:hyperlink r:id="rId10" w:tooltip="https://kadastr.ru/services/" w:history="1">
        <w:r>
          <w:rPr>
            <w:rStyle w:val="813"/>
            <w:rFonts w:ascii="Tinos" w:hAnsi="Tinos" w:eastAsia="Tinos" w:cs="Tinos"/>
            <w:color w:val="000000" w:themeColor="text1"/>
            <w:sz w:val="28"/>
            <w:szCs w:val="28"/>
            <w:u w:val="single"/>
          </w:rPr>
          <w:t xml:space="preserve">ППК «Роскадастр»</w:t>
        </w:r>
      </w:hyperlink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 или обратиться в центр госуслуг </w:t>
      </w:r>
      <w:hyperlink r:id="rId11" w:tooltip="https://md.mos.ru/" w:history="1">
        <w:r>
          <w:rPr>
            <w:rStyle w:val="813"/>
            <w:rFonts w:ascii="Tinos" w:hAnsi="Tinos" w:eastAsia="Tinos" w:cs="Tinos"/>
            <w:color w:val="000000" w:themeColor="text1"/>
            <w:sz w:val="28"/>
            <w:szCs w:val="28"/>
            <w:u w:val="single"/>
          </w:rPr>
          <w:t xml:space="preserve">«Мои документы»</w:t>
        </w:r>
      </w:hyperlink>
      <w:r>
        <w:rPr>
          <w:rFonts w:ascii="Tinos" w:hAnsi="Tinos" w:eastAsia="Tinos" w:cs="Tinos"/>
          <w:color w:val="000000" w:themeColor="text1"/>
          <w:sz w:val="28"/>
          <w:szCs w:val="28"/>
        </w:rPr>
        <w:t xml:space="preserve">.</w:t>
      </w:r>
      <w:r>
        <w:rPr>
          <w:color w:val="000000" w:themeColor="text1"/>
        </w:rPr>
      </w:r>
      <w:r>
        <w:rPr>
          <w:color w:val="000000" w:themeColor="text1"/>
        </w:rPr>
      </w:r>
    </w:p>
    <w:sectPr>
      <w:footnotePr/>
      <w:endnotePr/>
      <w:type w:val="nextPage"/>
      <w:pgSz w:w="11906" w:h="16838" w:orient="portrait"/>
      <w:pgMar w:top="709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nos">
    <w:panose1 w:val="02020603050405020304"/>
  </w:font>
  <w:font w:name="Liberation Sans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5">
    <w:name w:val="Heading 1"/>
    <w:basedOn w:val="831"/>
    <w:next w:val="831"/>
    <w:link w:val="656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1 Char"/>
    <w:link w:val="655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657">
    <w:name w:val="Heading 2"/>
    <w:basedOn w:val="831"/>
    <w:next w:val="831"/>
    <w:link w:val="658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658">
    <w:name w:val="Heading 2 Char"/>
    <w:link w:val="657"/>
    <w:uiPriority w:val="9"/>
    <w:rPr>
      <w:rFonts w:ascii="Liberation Sans" w:hAnsi="Liberation Sans" w:eastAsia="Liberation Sans" w:cs="Liberation Sans"/>
      <w:sz w:val="34"/>
    </w:rPr>
  </w:style>
  <w:style w:type="paragraph" w:styleId="659">
    <w:name w:val="Heading 3"/>
    <w:basedOn w:val="831"/>
    <w:next w:val="831"/>
    <w:link w:val="660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660">
    <w:name w:val="Heading 3 Char"/>
    <w:link w:val="659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661">
    <w:name w:val="Heading 4"/>
    <w:basedOn w:val="831"/>
    <w:next w:val="831"/>
    <w:link w:val="662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62">
    <w:name w:val="Heading 4 Char"/>
    <w:link w:val="661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663">
    <w:name w:val="Heading 5"/>
    <w:basedOn w:val="831"/>
    <w:next w:val="831"/>
    <w:link w:val="664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64">
    <w:name w:val="Heading 5 Char"/>
    <w:link w:val="66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5">
    <w:name w:val="Heading 6"/>
    <w:basedOn w:val="831"/>
    <w:next w:val="831"/>
    <w:link w:val="666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6">
    <w:name w:val="Heading 6 Char"/>
    <w:link w:val="665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7">
    <w:name w:val="Heading 7"/>
    <w:basedOn w:val="831"/>
    <w:next w:val="831"/>
    <w:link w:val="668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8">
    <w:name w:val="Heading 7 Char"/>
    <w:link w:val="667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9">
    <w:name w:val="Heading 8"/>
    <w:basedOn w:val="831"/>
    <w:next w:val="831"/>
    <w:link w:val="670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70">
    <w:name w:val="Heading 8 Char"/>
    <w:link w:val="669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71">
    <w:name w:val="Heading 9"/>
    <w:basedOn w:val="831"/>
    <w:next w:val="831"/>
    <w:link w:val="672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72">
    <w:name w:val="Heading 9 Char"/>
    <w:link w:val="671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73">
    <w:name w:val="Title"/>
    <w:basedOn w:val="831"/>
    <w:next w:val="831"/>
    <w:link w:val="67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4">
    <w:name w:val="Title Char"/>
    <w:link w:val="673"/>
    <w:uiPriority w:val="10"/>
    <w:rPr>
      <w:sz w:val="48"/>
      <w:szCs w:val="48"/>
    </w:rPr>
  </w:style>
  <w:style w:type="paragraph" w:styleId="675">
    <w:name w:val="Subtitle"/>
    <w:basedOn w:val="831"/>
    <w:next w:val="831"/>
    <w:link w:val="676"/>
    <w:uiPriority w:val="11"/>
    <w:qFormat/>
    <w:pPr>
      <w:spacing w:before="200" w:after="200"/>
    </w:pPr>
    <w:rPr>
      <w:sz w:val="24"/>
      <w:szCs w:val="24"/>
    </w:rPr>
  </w:style>
  <w:style w:type="character" w:styleId="676">
    <w:name w:val="Subtitle Char"/>
    <w:link w:val="675"/>
    <w:uiPriority w:val="11"/>
    <w:rPr>
      <w:sz w:val="24"/>
      <w:szCs w:val="24"/>
    </w:rPr>
  </w:style>
  <w:style w:type="paragraph" w:styleId="677">
    <w:name w:val="Quote"/>
    <w:basedOn w:val="831"/>
    <w:next w:val="831"/>
    <w:link w:val="678"/>
    <w:uiPriority w:val="29"/>
    <w:qFormat/>
    <w:pPr>
      <w:ind w:left="720" w:right="720"/>
    </w:pPr>
    <w:rPr>
      <w:i/>
    </w:rPr>
  </w:style>
  <w:style w:type="character" w:styleId="678">
    <w:name w:val="Quote Char"/>
    <w:link w:val="677"/>
    <w:uiPriority w:val="29"/>
    <w:rPr>
      <w:i/>
    </w:rPr>
  </w:style>
  <w:style w:type="paragraph" w:styleId="679">
    <w:name w:val="Intense Quote"/>
    <w:basedOn w:val="831"/>
    <w:next w:val="831"/>
    <w:link w:val="68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0">
    <w:name w:val="Intense Quote Char"/>
    <w:link w:val="679"/>
    <w:uiPriority w:val="30"/>
    <w:rPr>
      <w:i/>
    </w:rPr>
  </w:style>
  <w:style w:type="paragraph" w:styleId="681">
    <w:name w:val="Header"/>
    <w:basedOn w:val="831"/>
    <w:link w:val="68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2">
    <w:name w:val="Header Char"/>
    <w:link w:val="681"/>
    <w:uiPriority w:val="99"/>
  </w:style>
  <w:style w:type="paragraph" w:styleId="683">
    <w:name w:val="Foot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Footer Char"/>
    <w:link w:val="683"/>
    <w:uiPriority w:val="99"/>
  </w:style>
  <w:style w:type="paragraph" w:styleId="685">
    <w:name w:val="Caption"/>
    <w:basedOn w:val="831"/>
    <w:next w:val="831"/>
    <w:link w:val="68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6">
    <w:name w:val="Caption Char"/>
    <w:link w:val="685"/>
    <w:uiPriority w:val="35"/>
    <w:rPr>
      <w:b/>
      <w:bCs/>
      <w:color w:val="4f81bd" w:themeColor="accent1"/>
      <w:sz w:val="18"/>
      <w:szCs w:val="18"/>
    </w:rPr>
  </w:style>
  <w:style w:type="table" w:styleId="687">
    <w:name w:val="Table Grid"/>
    <w:basedOn w:val="83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8">
    <w:name w:val="Table Grid Light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Plain Table 1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0">
    <w:name w:val="Plain Table 2"/>
    <w:basedOn w:val="83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91">
    <w:name w:val="Plain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2">
    <w:name w:val="Plain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Plain Table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4">
    <w:name w:val="Grid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6">
    <w:name w:val="Grid Table 4 - Accent 1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7">
    <w:name w:val="Grid Table 4 - Accent 2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8">
    <w:name w:val="Grid Table 4 - Accent 3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9">
    <w:name w:val="Grid Table 4 - Accent 4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0">
    <w:name w:val="Grid Table 4 - Accent 5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1">
    <w:name w:val="Grid Table 4 - Accent 6"/>
    <w:basedOn w:val="83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2">
    <w:name w:val="Grid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3">
    <w:name w:val="Grid Table 5 Dark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4">
    <w:name w:val="Grid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6">
    <w:name w:val="Grid Table 5 Dark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7">
    <w:name w:val="Grid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9">
    <w:name w:val="Grid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30">
    <w:name w:val="Grid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31">
    <w:name w:val="Grid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32">
    <w:name w:val="Grid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33">
    <w:name w:val="Grid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34">
    <w:name w:val="Grid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5">
    <w:name w:val="Grid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36">
    <w:name w:val="Grid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Grid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List Table 1 Light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1">
    <w:name w:val="List Table 2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2">
    <w:name w:val="List Table 2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3">
    <w:name w:val="List Table 2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4">
    <w:name w:val="List Table 2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5">
    <w:name w:val="List Table 2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6">
    <w:name w:val="List Table 2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7">
    <w:name w:val="List Table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5 Dark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2">
    <w:name w:val="List Table 5 Dark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3">
    <w:name w:val="List Table 5 Dark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4">
    <w:name w:val="List Table 5 Dark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5">
    <w:name w:val="List Table 5 Dark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6">
    <w:name w:val="List Table 5 Dark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7">
    <w:name w:val="List Table 5 Dark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8">
    <w:name w:val="List Table 6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9">
    <w:name w:val="List Table 6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0">
    <w:name w:val="List Table 6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List Table 6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2">
    <w:name w:val="List Table 6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List Table 6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4">
    <w:name w:val="List Table 6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5">
    <w:name w:val="List Table 7 Colorful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86">
    <w:name w:val="List Table 7 Colorful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87">
    <w:name w:val="List Table 7 Colorful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8">
    <w:name w:val="List Table 7 Colorful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9">
    <w:name w:val="List Table 7 Colorful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90">
    <w:name w:val="List Table 7 Colorful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91">
    <w:name w:val="List Table 7 Colorful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92">
    <w:name w:val="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3">
    <w:name w:val="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4">
    <w:name w:val="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5">
    <w:name w:val="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6">
    <w:name w:val="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7">
    <w:name w:val="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8">
    <w:name w:val="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9">
    <w:name w:val="Bordered &amp; Lined - Accent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0">
    <w:name w:val="Bordered &amp; Lined - Accent 1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1">
    <w:name w:val="Bordered &amp; Lined - Accent 2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2">
    <w:name w:val="Bordered &amp; Lined - Accent 3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3">
    <w:name w:val="Bordered &amp; Lined - Accent 4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4">
    <w:name w:val="Bordered &amp; Lined - Accent 5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5">
    <w:name w:val="Bordered &amp; Lined - Accent 6"/>
    <w:basedOn w:val="83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6">
    <w:name w:val="Bordered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7">
    <w:name w:val="Bordered - Accent 1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8">
    <w:name w:val="Bordered - Accent 2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9">
    <w:name w:val="Bordered - Accent 3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0">
    <w:name w:val="Bordered - Accent 4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1">
    <w:name w:val="Bordered - Accent 5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2">
    <w:name w:val="Bordered - Accent 6"/>
    <w:basedOn w:val="83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3">
    <w:name w:val="Hyperlink"/>
    <w:uiPriority w:val="99"/>
    <w:unhideWhenUsed/>
    <w:rPr>
      <w:color w:val="0000ff" w:themeColor="hyperlink"/>
      <w:u w:val="single"/>
    </w:r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table" w:styleId="83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3" w:default="1">
    <w:name w:val="No List"/>
    <w:uiPriority w:val="99"/>
    <w:semiHidden/>
    <w:unhideWhenUsed/>
  </w:style>
  <w:style w:type="paragraph" w:styleId="834">
    <w:name w:val="No Spacing"/>
    <w:basedOn w:val="831"/>
    <w:uiPriority w:val="1"/>
    <w:qFormat/>
    <w:pPr>
      <w:spacing w:after="0" w:line="240" w:lineRule="auto"/>
    </w:pPr>
  </w:style>
  <w:style w:type="paragraph" w:styleId="835">
    <w:name w:val="List Paragraph"/>
    <w:basedOn w:val="831"/>
    <w:uiPriority w:val="34"/>
    <w:qFormat/>
    <w:pPr>
      <w:contextualSpacing/>
      <w:ind w:left="720"/>
    </w:pPr>
  </w:style>
  <w:style w:type="character" w:styleId="836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rosreestr.gov.ru/eservices/" TargetMode="External"/><Relationship Id="rId9" Type="http://schemas.openxmlformats.org/officeDocument/2006/relationships/hyperlink" Target="https://www.gosuslugi.ru/" TargetMode="External"/><Relationship Id="rId10" Type="http://schemas.openxmlformats.org/officeDocument/2006/relationships/hyperlink" Target="https://kadastr.ru/services/" TargetMode="External"/><Relationship Id="rId11" Type="http://schemas.openxmlformats.org/officeDocument/2006/relationships/hyperlink" Target="https://md.mos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v.mamontov</cp:lastModifiedBy>
  <cp:revision>2</cp:revision>
  <dcterms:modified xsi:type="dcterms:W3CDTF">2026-08-13T08:48:05Z</dcterms:modified>
</cp:coreProperties>
</file>