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  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 О льготном оказании услуг участникам СВО и ветеранам войны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eastAsia="Tinos" w:cs="Tinos"/>
          <w:color w:val="292c2f"/>
          <w:sz w:val="28"/>
          <w:szCs w:val="28"/>
        </w:rPr>
      </w:pP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В преддверии 80-летней годовщины Победы в Великой Отечественной войне Росреестр напоминает о льготном оказании ряда услуг для участников специальной военной операции (СВО) и ветеранов войны.</w:t>
        <w:br/>
        <w:t xml:space="preserve">    Согласно приказу Росреестра от 28.10.2024 № П/0335/24, для ветер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анов боевых действий, к которым в том числе относятся участники СВО, с 1 января 2025 года предусмотрена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льгота в размере 50% при оплате за предоставление сведений, содержащихся в ЕГРН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 Получить сведения из ЕГРН можно </w:t>
      </w:r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на </w:t>
      </w:r>
      <w:hyperlink r:id="rId8" w:tooltip="https://www.gosuslugi.ru/help/faq/egrn/101728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портале Госуслуг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 ил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 посредством обращения в МФЦ.</w:t>
        <w:br/>
        <w:t xml:space="preserve">    Также участникам СВО и членам их семей полагается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скидка при проведении кадастровых работ в рамках социальной догазификации СНТ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 В ходе данной программы осуществляется строительство газораспределительной сети до границ садовых земельных участков, на которых расположены жилые дома. Если для участия в программе понадобятся кадастровые работы, участники СВО могут их заказать н</w:t>
      </w:r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а </w:t>
      </w:r>
      <w:hyperlink r:id="rId9" w:tooltip="https://kadastr.ru/services/sotsialnaya-gazifikatsiya-snt/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сайте ППК «Роскадастр»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. С его помощью все процедуры, связанные с регистрацией прав, можно выполнить «под ключ» - вызвать проверенного кадастрового инженера, подготовить необходимые документы и подать заявление о регистрации прав.</w:t>
        <w:br/>
        <w:t xml:space="preserve">     С 1 марта 2025 года вступил в силу </w:t>
      </w:r>
      <w:hyperlink r:id="rId10" w:tooltip="http://publication.pravo.gov.ru/document/0001202502270026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Федеральный закон № 10-ФЗ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(от 27.02.2025), также предоставляющий льготы при получении услуг Росреестра для лиц, пострадавших в результате боевых действий (в том числе участников СВО).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Учётно-регистрационные действия для них не будут приостанавливаться, если в Единый государственный реестр недвижимости (ЕГРН) не внесены границы земельного участка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являющегося предметом договора, либо земельного участка, на котором расположено являющееся предметом договора здание (сооружение). Также для данной категории лиц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внесение в ЕГРН сведений о ранее учтённых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земельных участках и объектах недвижимости и регистрация прав на них возможны без представления межевого и технического планов.</w:t>
        <w:br/>
        <w:t xml:space="preserve">    Заявления о государственном кадастровом учёте и (или) регистрации прав в отношении объектов недвижимости, принадлежащих участн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икам СВО и членам их семей,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рассматриваются Росреестром в приоритетном порядке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  <w:br/>
        <w:t xml:space="preserve">    С 22 апреля 2024 года физические лица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при наследовании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недвижимого имущества погибших участников СВО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освобождены от уплаты государственной пошлины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за регистрацию права собственности. Это следует из вступившего в силу Федерального закона № 88-ФЗ «О внесении изменений в статьи 333.35 и 333.38 части второй Налогового кодекса Российской Федерации».</w:t>
        <w:br/>
        <w:t xml:space="preserve">    Право на льготу подтверждается соответствующими докуме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нтами. Например, удостоверением ветерана боевых действий (Постановление Правительства РФ от 19.12.2003 № 763), которое оформляется на бланке и в виде пластиковой идентификационной карты.</w:t>
        <w:br/>
        <w:br/>
        <w:t xml:space="preserve">    Кроме того,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Национальной палатой кадастровых инженеров создан Всероссийский волонтёрский проект «Вместе с героями»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который направлен на помощь и поддержку участников специальной военной операции и их семей. В рамках мероприятия у них есть возможность бесплатно заказать кадастровые работы (технические или межевые планы) по бытовой недвижимости, получить консультационн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о-правовую помощь и иные услуги в сфере недвижимости. </w:t>
      </w:r>
      <w:r>
        <w:rPr>
          <w:rFonts w:ascii="Tinos" w:hAnsi="Tinos" w:eastAsia="Tinos" w:cs="Tinos"/>
          <w:color w:val="292c2f"/>
          <w:sz w:val="28"/>
          <w:szCs w:val="28"/>
        </w:rPr>
        <w:br/>
        <w:t xml:space="preserve">     Для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ветеранов Великой Отечественной войны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 постановка на кадастровый учёт и государственная регистрация прав на объекты недвижимости проводится </w:t>
      </w: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в течение одного рабочего дня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следующего за днем приёма документов. От уплаты госпошлины за регистрацию прав ветераны освобождены.</w:t>
        <w:br/>
        <w:t xml:space="preserve">   Также для ветеранов предусмотрена </w:t>
      </w:r>
      <w:hyperlink r:id="rId11" w:tooltip="https://kadastr.ru/services/vyezdnoe-obsluzhivanie/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бесплатная услуга выезда на дом</w:t>
        </w:r>
      </w:hyperlink>
      <w:r>
        <w:rPr>
          <w:rFonts w:ascii="Tinos" w:hAnsi="Tinos" w:eastAsia="Tinos" w:cs="Tinos"/>
          <w:color w:val="292c2f"/>
          <w:sz w:val="28"/>
          <w:szCs w:val="28"/>
        </w:rPr>
        <w:t xml:space="preserve"> сотрудников ППК «Роскадастр», в ходе которой они могут подать документы на кадастровый учёт или регистрацию прав. По итогам предоставления услуги готовые документы им также бесплатно доставят на </w:t>
      </w:r>
      <w:r>
        <w:rPr>
          <w:rFonts w:ascii="Roboto" w:hAnsi="Roboto" w:eastAsia="Roboto" w:cs="Roboto"/>
          <w:color w:val="292c2f"/>
          <w:sz w:val="24"/>
        </w:rPr>
        <w:t xml:space="preserve">дом.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gosuslugi.ru/help/faq/egrn/101728" TargetMode="External"/><Relationship Id="rId9" Type="http://schemas.openxmlformats.org/officeDocument/2006/relationships/hyperlink" Target="https://kadastr.ru/services/sotsialnaya-gazifikatsiya-snt/" TargetMode="External"/><Relationship Id="rId10" Type="http://schemas.openxmlformats.org/officeDocument/2006/relationships/hyperlink" Target="http://publication.pravo.gov.ru/document/0001202502270026" TargetMode="External"/><Relationship Id="rId11" Type="http://schemas.openxmlformats.org/officeDocument/2006/relationships/hyperlink" Target="https://kadastr.ru/services/vyezdnoe-obsluzhivani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9</cp:revision>
  <dcterms:created xsi:type="dcterms:W3CDTF">2022-04-25T11:53:00Z</dcterms:created>
  <dcterms:modified xsi:type="dcterms:W3CDTF">2025-04-25T08:08:37Z</dcterms:modified>
</cp:coreProperties>
</file>