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100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Как оформить новый гараж на участке под ИЖС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Roboto" w:hAnsi="Roboto" w:eastAsia="Roboto" w:cs="Roboto"/>
          <w:color w:val="292c2f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1"/>
        </w:rPr>
        <w:t xml:space="preserve"> </w:t>
      </w:r>
      <w:r>
        <w:rPr>
          <w:rFonts w:ascii="Roboto" w:hAnsi="Roboto" w:eastAsia="Roboto" w:cs="Roboto"/>
          <w:sz w:val="21"/>
        </w:rPr>
      </w:r>
    </w:p>
    <w:p>
      <w:pPr>
        <w:ind w:left="0" w:right="0" w:firstLine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Для того, чтобы полноценно распоряжаться капитальным гаражным строением (передать здание гаража по наследству, подарить, сдать в аренду и т.д.) владельцу необходимо поставить объект недвижимости на кадастровый учет и зарегистрировать на него право собствен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ности.</w:t>
        <w:br/>
        <w:t xml:space="preserve">  Внести в Единый государственный реестр недвижимости (ЕГРН) сведения о гараже и его правообладателе можно обратившись в Росреестр через центры госуслуг или на сайте ведомства с соответствующим заявлением о проведении единой процедуры и техническим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планом.</w:t>
        <w:br/>
        <w:t xml:space="preserve">  Технический план объекта готовит кадастровый инженер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на основании:</w:t>
        <w:br/>
      </w:r>
      <w:r>
        <w:rPr>
          <w:rFonts w:ascii="Tinos" w:hAnsi="Tinos" w:eastAsia="Tinos" w:cs="Tinos"/>
          <w:color w:val="292c2f"/>
          <w:sz w:val="28"/>
          <w:szCs w:val="28"/>
        </w:rPr>
        <w:t xml:space="preserve">- правоустанавливающего документа на земельный участок, в границах которого расположен гараж (например, на основании договора купли-продажи или дарения земельного участка, свидетельства о праве на наследство, решения суда и т.д.);</w:t>
        <w:br/>
        <w:t xml:space="preserve">- документов, подтвержда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ющих ранее осуществленный учет указанного объекта органами или организациями по государственному технического учету и (или) инвентаризации (на основании технического или кадастрового паспорта);</w:t>
        <w:br/>
        <w:t xml:space="preserve">- вступившего в законную силу решения суда;</w:t>
        <w:br/>
        <w:t xml:space="preserve">- оплаченной гос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пошлины.</w:t>
        <w:br/>
        <w:t xml:space="preserve">Зарегистрировать права на гараж также можно на основании вышеуказанных документов, соответствующему решению суда, договору купли-продажи или дарения, свидетельству о праве на наследство.</w:t>
        <w:br/>
        <w:t xml:space="preserve">Все документы должны соответствовать требованиям, установл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енным ст. 21 Закона «О госрегистрации недвижимости», в том числе должны содержать описание объекта, вид регистрируемого права, иметь надлежащие подписи сторон, а текст документа должен быть написан разборчиво.</w:t>
        <w:br/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61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61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61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61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61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1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1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1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8</cp:revision>
  <dcterms:created xsi:type="dcterms:W3CDTF">2023-01-16T12:06:00Z</dcterms:created>
  <dcterms:modified xsi:type="dcterms:W3CDTF">2025-03-28T08:47:45Z</dcterms:modified>
</cp:coreProperties>
</file>