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70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 xml:space="preserve">ПРЕСС-РЕЛИЗ</w:t>
                            </w: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</w: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-251659264;o:allowoverlap:true;o:allowincell:true;mso-position-horizontal-relative:text;margin-left:375.95pt;mso-position-horizontal:absolute;mso-position-vertical-relative:text;margin-top:-9.15pt;mso-position-vertical:absolute;width:130.40pt;height:22.85pt;mso-wrap-distance-left:9.00pt;mso-wrap-distance-top:0.00pt;mso-wrap-distance-right:9.00pt;mso-wrap-distance-bottom:0.00pt;v-text-anchor:top;visibility:visible;" wrapcoords="0 0 0 91903 98926 91903 98926 0 0 0" fillcolor="#FFFFFF" stroked="f">
                <w10:wrap type="tight"/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 xml:space="preserve">ПРЕСС-РЕЛИЗ</w:t>
                      </w:r>
                      <w:r>
                        <w:rPr>
                          <w:rFonts w:ascii="Montserrat" w:hAnsi="Montserrat"/>
                          <w:color w:val="58595b"/>
                        </w:rPr>
                      </w:r>
                      <w:r>
                        <w:rPr>
                          <w:rFonts w:ascii="Montserrat" w:hAnsi="Montserrat"/>
                          <w:color w:val="58595b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/>
          <w:b w:val="0"/>
          <w:sz w:val="16"/>
          <w:szCs w:val="16"/>
        </w:rPr>
        <w:t xml:space="preserve">25</w:t>
      </w:r>
      <w:r>
        <w:rPr>
          <w:rFonts w:ascii="Montserrat" w:hAnsi="Montserrat"/>
          <w:b w:val="0"/>
          <w:sz w:val="16"/>
          <w:szCs w:val="16"/>
        </w:rPr>
        <w:t xml:space="preserve">.03</w:t>
      </w:r>
      <w:r>
        <w:rPr>
          <w:rFonts w:ascii="Montserrat" w:hAnsi="Montserrat"/>
          <w:b w:val="0"/>
          <w:sz w:val="16"/>
          <w:szCs w:val="16"/>
        </w:rPr>
        <w:t xml:space="preserve">.2026</w:t>
      </w:r>
      <w:r/>
    </w:p>
    <w:p>
      <w:pPr>
        <w:pStyle w:val="1252"/>
        <w:pBdr/>
        <w:spacing w:after="0" w:afterAutospacing="0" w:before="0" w:beforeAutospacing="0" w:line="276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 xml:space="preserve">27 марта</w:t>
      </w:r>
      <w:r>
        <w:rPr>
          <w:rFonts w:ascii="Montserrat" w:hAnsi="Montserrat"/>
          <w:b/>
          <w:szCs w:val="28"/>
        </w:rPr>
        <w:t xml:space="preserve"> </w:t>
      </w:r>
      <w:r>
        <w:rPr>
          <w:rFonts w:ascii="Montserrat" w:hAnsi="Montserrat"/>
          <w:b/>
          <w:szCs w:val="28"/>
        </w:rPr>
        <w:t xml:space="preserve">Отделени</w:t>
      </w:r>
      <w:r>
        <w:rPr>
          <w:rFonts w:ascii="Montserrat" w:hAnsi="Montserrat"/>
          <w:b/>
          <w:szCs w:val="28"/>
          <w:lang w:val="undefined"/>
        </w:rPr>
        <w:t xml:space="preserve">е</w:t>
      </w:r>
      <w:r>
        <w:rPr>
          <w:rFonts w:ascii="Montserrat" w:hAnsi="Montserrat"/>
          <w:b/>
          <w:szCs w:val="28"/>
        </w:rPr>
        <w:t xml:space="preserve"> </w:t>
      </w:r>
      <w:r>
        <w:rPr>
          <w:rFonts w:ascii="Montserrat" w:hAnsi="Montserrat"/>
          <w:b/>
          <w:szCs w:val="28"/>
        </w:rPr>
        <w:t xml:space="preserve">СФР</w:t>
      </w:r>
      <w:r>
        <w:rPr>
          <w:rFonts w:ascii="Montserrat" w:hAnsi="Montserrat"/>
          <w:b/>
          <w:szCs w:val="28"/>
        </w:rPr>
        <w:t xml:space="preserve"> по Краснодарскому краю</w:t>
      </w:r>
      <w:r>
        <w:rPr>
          <w:rFonts w:ascii="Montserrat" w:hAnsi="Montserrat"/>
          <w:b/>
          <w:szCs w:val="28"/>
        </w:rPr>
        <w:t xml:space="preserve"> проведет </w:t>
      </w:r>
      <w:r>
        <w:rPr>
          <w:rFonts w:ascii="Montserrat" w:hAnsi="Montserrat"/>
          <w:b/>
          <w:szCs w:val="28"/>
        </w:rPr>
        <w:t xml:space="preserve">День единого пособия</w:t>
      </w: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27 марта 2026 года на Кубани пройдёт День единого пособия — масштабное информационно-консультационное мероприятие, организованное Отделением Социального фонда России по Краснодарскому краю. </w:t>
      </w:r>
      <w:r>
        <w:rPr>
          <w:rFonts w:ascii="Montserrat" w:hAnsi="Montserrat"/>
          <w:szCs w:val="28"/>
        </w:rPr>
        <w:t xml:space="preserve">В этот день жители региона смогут получить персональные консультации от специалистов по всем вопросам, связанным с назначением и выплатой единого пособия для семей с детьми. Мероприятие призвано помочь кубанцам разобраться в нюансах оформления, подачи доку</w:t>
      </w:r>
      <w:r>
        <w:rPr>
          <w:rFonts w:ascii="Montserrat" w:hAnsi="Montserrat"/>
          <w:szCs w:val="28"/>
        </w:rPr>
        <w:t xml:space="preserve">ментов и использования портала </w:t>
      </w:r>
      <w:r>
        <w:rPr>
          <w:rFonts w:ascii="Montserrat" w:hAnsi="Montserrat"/>
          <w:szCs w:val="28"/>
        </w:rPr>
        <w:t xml:space="preserve">госуслуг</w:t>
      </w:r>
      <w:r>
        <w:rPr>
          <w:rFonts w:ascii="Montserrat" w:hAnsi="Montserrat"/>
          <w:szCs w:val="28"/>
        </w:rPr>
        <w:t xml:space="preserve"> для получения г</w:t>
      </w:r>
      <w:r>
        <w:rPr>
          <w:rFonts w:ascii="Montserrat" w:hAnsi="Montserrat"/>
          <w:szCs w:val="28"/>
        </w:rPr>
        <w:t xml:space="preserve">осударственной поддержки.</w:t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День единого пособия пройдёт одновременно в 30 городах и районах Краснодарского края, включая Ан</w:t>
      </w:r>
      <w:r>
        <w:rPr>
          <w:rFonts w:ascii="Montserrat" w:hAnsi="Montserrat"/>
          <w:szCs w:val="28"/>
        </w:rPr>
        <w:t xml:space="preserve">апу, Армавир, Апшеронск, Абинск, Горячий Ключ, Белореченск, Геленджик, Ейск, Гулькевичи, Кореновск, Краснодар (Центральный внутригородской округ), Кропоткин, Курганинск, Новокубанск, Новороссийск, Приморско-Ахтарск, Славянск-на-Кубани, Сочи (Центральный и </w:t>
      </w:r>
      <w:r>
        <w:rPr>
          <w:rFonts w:ascii="Montserrat" w:hAnsi="Montserrat"/>
          <w:szCs w:val="28"/>
        </w:rPr>
        <w:t xml:space="preserve">Хостинский</w:t>
      </w:r>
      <w:r>
        <w:rPr>
          <w:rFonts w:ascii="Montserrat" w:hAnsi="Montserrat"/>
          <w:szCs w:val="28"/>
        </w:rPr>
        <w:t xml:space="preserve"> районы), Темрюк, </w:t>
      </w:r>
      <w:r>
        <w:rPr>
          <w:rFonts w:ascii="Montserrat" w:hAnsi="Montserrat"/>
          <w:szCs w:val="28"/>
        </w:rPr>
        <w:t xml:space="preserve">Тимашёвск</w:t>
      </w:r>
      <w:r>
        <w:rPr>
          <w:rFonts w:ascii="Montserrat" w:hAnsi="Montserrat"/>
          <w:szCs w:val="28"/>
        </w:rPr>
        <w:t xml:space="preserve">, Тихорецк, Туапсе, Усть-Лабинск, посёлок городского типа Мостовской, а также в станицах Тбилисская, Брюховецкая, Выселки, Динская, </w:t>
      </w:r>
      <w:r>
        <w:rPr>
          <w:rFonts w:ascii="Montserrat" w:hAnsi="Montserrat"/>
          <w:szCs w:val="28"/>
        </w:rPr>
        <w:t xml:space="preserve">Кущёвская</w:t>
      </w:r>
      <w:r>
        <w:rPr>
          <w:rFonts w:ascii="Montserrat" w:hAnsi="Montserrat"/>
          <w:szCs w:val="28"/>
        </w:rPr>
        <w:t xml:space="preserve">, Ленинградская, Пав</w:t>
      </w:r>
      <w:r>
        <w:rPr>
          <w:rFonts w:ascii="Montserrat" w:hAnsi="Montserrat"/>
          <w:szCs w:val="28"/>
        </w:rPr>
        <w:t xml:space="preserve">ловская, Полтавская</w:t>
      </w:r>
      <w:r>
        <w:rPr>
          <w:rFonts w:ascii="Montserrat" w:hAnsi="Montserrat"/>
          <w:szCs w:val="28"/>
        </w:rPr>
        <w:t xml:space="preserve">, Северская. </w:t>
      </w:r>
      <w:hyperlink r:id="rId14" w:tooltip="https://sfr.gov.ru/contacts/ks/" w:history="1">
        <w:r>
          <w:rPr>
            <w:rStyle w:val="1253"/>
            <w:rFonts w:ascii="Montserrat" w:hAnsi="Montserrat"/>
            <w:szCs w:val="28"/>
          </w:rPr>
          <w:t xml:space="preserve">Адреса клиентских служб Отделения СФР по Краснодарскому краю можно уточнить на официальном сайте Социального фонда России.</w:t>
        </w:r>
      </w:hyperlink>
      <w:r>
        <w:rPr>
          <w:rFonts w:ascii="Montserrat" w:hAnsi="Montserrat"/>
          <w:szCs w:val="28"/>
        </w:rPr>
        <w:t xml:space="preserve"> Такая широкая география мероприятия обеспечит доступность экспертной помощи для </w:t>
      </w:r>
      <w:r>
        <w:rPr>
          <w:rFonts w:ascii="Montserrat" w:hAnsi="Montserrat"/>
          <w:szCs w:val="28"/>
        </w:rPr>
        <w:t xml:space="preserve">семей из разных уголков Кубани.</w:t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В рамках Дня единого пособия специалисты Отделения СФР по Краснодарскому краю окажут квалифицированную поддержку на всех этапах оформления </w:t>
      </w:r>
      <w:r>
        <w:rPr>
          <w:rFonts w:ascii="Montserrat" w:hAnsi="Montserrat"/>
          <w:szCs w:val="28"/>
        </w:rPr>
        <w:t xml:space="preserve">выплаты</w:t>
      </w:r>
      <w:r>
        <w:rPr>
          <w:rFonts w:ascii="Montserrat" w:hAnsi="Montserrat"/>
          <w:szCs w:val="28"/>
        </w:rPr>
        <w:t xml:space="preserve">: от подачи заявления до предоставления дополнительных документов. Особое внимание будет уделено разъяснению процедуры </w:t>
      </w:r>
      <w:r>
        <w:rPr>
          <w:rFonts w:ascii="Montserrat" w:hAnsi="Montserrat"/>
          <w:szCs w:val="28"/>
        </w:rPr>
        <w:t xml:space="preserve">подачи заявлений через портал </w:t>
      </w:r>
      <w:r>
        <w:rPr>
          <w:rFonts w:ascii="Montserrat" w:hAnsi="Montserrat"/>
          <w:szCs w:val="28"/>
        </w:rPr>
        <w:t xml:space="preserve">госуслуг</w:t>
      </w:r>
      <w:r>
        <w:rPr>
          <w:rFonts w:ascii="Montserrat" w:hAnsi="Montserrat"/>
          <w:szCs w:val="28"/>
        </w:rPr>
        <w:t xml:space="preserve">, что позволит семьям сэкономить время и избежать ошибок. Также эксперты ответят на актуальные вопросы о размерах, сроках и условиях</w:t>
      </w:r>
      <w:r>
        <w:rPr>
          <w:rFonts w:ascii="Montserrat" w:hAnsi="Montserrat"/>
          <w:szCs w:val="28"/>
        </w:rPr>
        <w:t xml:space="preserve"> получения единого пособия.</w:t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Основная задача </w:t>
      </w:r>
      <w:r>
        <w:rPr>
          <w:rFonts w:ascii="Montserrat" w:hAnsi="Montserrat"/>
          <w:szCs w:val="28"/>
        </w:rPr>
        <w:t xml:space="preserve">Дня единого пособия — повышение информированности семей Краснодарского края о возможностях государственной поддержки. Многие жители до сих пор сталкиваются с трудностями при оформлении пособий и допускают ошибки при подаче документов. Мероприятие призвано </w:t>
      </w:r>
      <w:r>
        <w:rPr>
          <w:rFonts w:ascii="Montserrat" w:hAnsi="Montserrat"/>
          <w:szCs w:val="28"/>
        </w:rPr>
        <w:t xml:space="preserve">устранить эти пробелы, предоставив кубанцам актуальную и достоверную информацию из первых рук. Специалисты Отделения </w:t>
      </w:r>
      <w:r>
        <w:rPr>
          <w:rFonts w:ascii="Montserrat" w:hAnsi="Montserrat"/>
          <w:szCs w:val="28"/>
        </w:rPr>
        <w:t xml:space="preserve">Соцфонда</w:t>
      </w:r>
      <w:r>
        <w:rPr>
          <w:rFonts w:ascii="Montserrat" w:hAnsi="Montserrat"/>
          <w:szCs w:val="28"/>
        </w:rPr>
        <w:t xml:space="preserve"> по Краснодарскому краю готовы помочь каждому посетителю разобраться в тонкостях законо</w:t>
      </w:r>
      <w:r>
        <w:rPr>
          <w:rFonts w:ascii="Montserrat" w:hAnsi="Montserrat"/>
          <w:szCs w:val="28"/>
        </w:rPr>
        <w:t xml:space="preserve">дательства.</w:t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Отделение СФР по Краснодарскому краю приглашает всех жителей региона, воспитывающих детей, принять участие в Дне единого пособия. Это уникальная возможность получить бесплатную и профессиональную консультацию, </w:t>
      </w:r>
      <w:r>
        <w:rPr>
          <w:rFonts w:ascii="Montserrat" w:hAnsi="Montserrat"/>
          <w:szCs w:val="28"/>
        </w:rPr>
        <w:t xml:space="preserve">задать интересующие вопросы и оперативно решить проблемы, связанные с оформлением единого пособия. Не упустите шанс воспользоваться экспертной поддержкой — посетите клиентскую службу регионального Отделения СФР в вашем населённом пункте 27 марта 2026 года!</w:t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</w:rPr>
        <w:t xml:space="preserve">Напомним, что многодетные семьи</w:t>
      </w:r>
      <w:r>
        <w:rPr>
          <w:rFonts w:ascii="Montserrat" w:hAnsi="Montserrat"/>
        </w:rPr>
        <w:t xml:space="preserve"> могут подтверждать право на льготы электронным удостоверением через </w:t>
      </w:r>
      <w:hyperlink r:id="rId15" w:tooltip="https://max.ru" w:history="1">
        <w:r>
          <w:rPr>
            <w:rStyle w:val="1253"/>
            <w:rFonts w:ascii="Montserrat" w:hAnsi="Montserrat"/>
          </w:rPr>
          <w:t xml:space="preserve">мессенджер</w:t>
        </w:r>
        <w:r>
          <w:rPr>
            <w:rStyle w:val="1253"/>
            <w:rFonts w:ascii="Montserrat" w:hAnsi="Montserrat"/>
          </w:rPr>
          <w:t xml:space="preserve"> MAX</w:t>
        </w:r>
      </w:hyperlink>
      <w:r>
        <w:rPr>
          <w:rFonts w:ascii="Montserrat" w:hAnsi="Montserrat"/>
        </w:rPr>
        <w:t xml:space="preserve">.</w:t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</w:t>
      </w:r>
      <w:r>
        <w:rPr>
          <w:rFonts w:ascii="Montserrat" w:hAnsi="Montserrat"/>
        </w:rPr>
        <w:t xml:space="preserve">)100-00-01 (звонок бесплатный).</w:t>
      </w: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Style w:val="1252"/>
        <w:widowControl w:val="false"/>
        <w:pBdr/>
        <w:spacing w:before="0" w:beforeAutospacing="0" w:line="276" w:lineRule="auto"/>
        <w:ind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  <w:r>
        <w:rPr>
          <w:rFonts w:ascii="Montserrat" w:hAnsi="Montserrat"/>
          <w:b/>
          <w:color w:val="58595b"/>
        </w:rPr>
      </w:r>
      <w:r>
        <w:rPr>
          <w:rFonts w:ascii="Montserrat" w:hAnsi="Montserrat"/>
          <w:b/>
          <w:color w:val="58595b"/>
        </w:rPr>
      </w:r>
    </w:p>
    <w:p>
      <w:pPr>
        <w:pStyle w:val="1252"/>
        <w:widowControl w:val="false"/>
        <w:pBdr/>
        <w:spacing w:before="0" w:beforeAutospacing="0" w:line="276" w:lineRule="auto"/>
        <w:ind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 xml:space="preserve">Мы в социальных сетях:</w:t>
      </w:r>
      <w:r>
        <w:rPr>
          <w:rFonts w:ascii="Montserrat" w:hAnsi="Montserrat"/>
          <w:b/>
          <w:color w:val="58595b"/>
        </w:rPr>
      </w:r>
      <w:r>
        <w:rPr>
          <w:rFonts w:ascii="Montserrat" w:hAnsi="Montserrat"/>
          <w:b/>
          <w:color w:val="58595b"/>
        </w:rPr>
      </w:r>
    </w:p>
    <w:p>
      <w:pPr>
        <w:pStyle w:val="1252"/>
        <w:pBdr/>
        <w:spacing w:before="0" w:beforeAutospacing="0"/>
        <w:ind/>
        <w:jc w:val="center"/>
        <w:rPr>
          <w:rFonts w:asciiTheme="minorHAnsi" w:hAnsiTheme="minorHAnsi"/>
          <w:b/>
          <w:color w:val="488dcd"/>
        </w:rPr>
      </w:pPr>
      <w:r>
        <w:rPr>
          <w:rFonts w:ascii="Myriad Pro" w:hAnsi="Myriad Pro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6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x-messenger-sign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24.09pt;height:24.09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7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k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24.09pt;height:24.09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8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k-sign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24.09pt;height:24.09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9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egram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24.09pt;height:24.09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10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zen-logo dark-icon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24.09pt;height:24.09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</w:r>
      <w:r>
        <w:rPr>
          <w:rFonts w:asciiTheme="minorHAnsi" w:hAnsiTheme="minorHAnsi"/>
          <w:b/>
          <w:color w:val="488dcd"/>
        </w:rPr>
      </w:r>
    </w:p>
    <w:p>
      <w:pPr>
        <w:pBdr/>
        <w:spacing/>
        <w:ind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p>
      <w:pPr>
        <w:pBdr/>
        <w:spacing/>
        <w:ind/>
        <w:jc w:val="lef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788" w:right="890" w:bottom="1576" w:left="890" w:header="567" w:footer="567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5040102010807070707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Calibri">
    <w:panose1 w:val="020F0502020204030204"/>
  </w:font>
  <w:font w:name="Helv">
    <w:panose1 w:val="05040102010807070707"/>
  </w:font>
  <w:font w:name="Verdana">
    <w:panose1 w:val="020B0604030504040204"/>
  </w:font>
  <w:font w:name="Tahoma">
    <w:panose1 w:val="020B0604030504040204"/>
  </w:font>
  <w:font w:name="Montserrat"/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8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8"/>
      <w:framePr w:hAnchor="margin" w:vAnchor="text" w:wrap="around" w:xAlign="right" w:y="1"/>
      <w:pBdr/>
      <w:spacing/>
      <w:ind/>
      <w:rPr>
        <w:rStyle w:val="1249"/>
      </w:rPr>
    </w:pPr>
    <w:r>
      <w:rPr>
        <w:rStyle w:val="1249"/>
      </w:rPr>
      <w:fldChar w:fldCharType="begin"/>
    </w:r>
    <w:r>
      <w:rPr>
        <w:rStyle w:val="1249"/>
      </w:rPr>
      <w:instrText xml:space="preserve">PAGE  </w:instrText>
    </w:r>
    <w:r>
      <w:rPr>
        <w:rStyle w:val="1249"/>
      </w:rPr>
      <w:fldChar w:fldCharType="end"/>
    </w:r>
    <w:r>
      <w:rPr>
        <w:rStyle w:val="1249"/>
      </w:rPr>
    </w:r>
    <w:r>
      <w:rPr>
        <w:rStyle w:val="1249"/>
      </w:rPr>
    </w:r>
  </w:p>
  <w:p>
    <w:pPr>
      <w:pStyle w:val="1248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8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>
      <w:trPr/>
      <w:tc>
        <w:tcPr>
          <w:tcBorders/>
          <w:tcW w:w="2503" w:type="dxa"/>
          <w:textDirection w:val="lrTb"/>
          <w:noWrap w:val="false"/>
        </w:tcPr>
        <w:p>
          <w:pPr>
            <w:pStyle w:val="1247"/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47"/>
            <w:pBdr/>
            <w:spacing/>
            <w:ind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</w:p>
        <w:p>
          <w:pPr>
            <w:pStyle w:val="1247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47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47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47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47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861 992-53-83</w:t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</w:tr>
  </w:tbl>
  <w:p>
    <w:pPr>
      <w:pStyle w:val="1247"/>
      <w:pBdr/>
      <w:spacing/>
      <w:ind/>
      <w:rPr>
        <w:lang w:val="en-US"/>
      </w:rPr>
    </w:pPr>
    <w:r>
      <w:rPr>
        <w:rFonts w:ascii="Calibri" w:hAnsi="Calibri" w:eastAsia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Bdr>
                              <w:top w:val="single" w:color="d8d8d8" w:themeColor="background1" w:themeShade="D8" w:sz="4" w:space="1"/>
                            </w:pBdr>
                            <w:spacing/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3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251659776;o:allowoverlap:true;o:allowincell:false;mso-position-horizontal-relative:left-margin-area;margin-left:2.85pt;mso-position-horizontal:absolute;mso-position-vertical-relative:margin;margin-top:1.50pt;mso-position-vertical:absolute;width:64.50pt;height:34.15pt;mso-wrap-distance-left:9.00pt;mso-wrap-distance-top:0.00pt;mso-wrap-distance-right:9.00pt;mso-wrap-distance-bottom:0.00pt;v-text-anchor:top;visibility:visible;" fillcolor="#FFFFFF">
              <v:textbox inset="0,0,0,0">
                <w:txbxContent>
                  <w:p>
                    <w:pPr>
                      <w:pBdr>
                        <w:top w:val="single" w:color="d8d8d8" w:themeColor="background1" w:themeShade="D8" w:sz="4" w:space="1"/>
                      </w:pBdr>
                      <w:spacing/>
                      <w:ind/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3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8"/>
      <w:tblW w:w="1069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>
      <w:trPr/>
      <w:tc>
        <w:tcPr>
          <w:tcBorders/>
          <w:tcW w:w="3369" w:type="dxa"/>
          <w:textDirection w:val="lrTb"/>
          <w:noWrap w:val="false"/>
        </w:tcPr>
        <w:p>
          <w:pPr>
            <w:pStyle w:val="1247"/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357" w:type="dxa"/>
          <w:textDirection w:val="lrTb"/>
          <w:noWrap w:val="false"/>
        </w:tcPr>
        <w:p>
          <w:pPr>
            <w:pStyle w:val="1247"/>
            <w:pBdr/>
            <w:spacing/>
            <w:ind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</w:p>
        <w:p>
          <w:pPr>
            <w:pStyle w:val="1247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г. Краснодар</w:t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  <w:p>
          <w:pPr>
            <w:pStyle w:val="1247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r>
            <w:rPr>
              <w:rFonts w:ascii="Montserrat" w:hAnsi="Montserrat"/>
              <w:sz w:val="16"/>
              <w:szCs w:val="16"/>
            </w:rPr>
            <w:t xml:space="preserve">Хакурате</w:t>
          </w:r>
          <w:r>
            <w:rPr>
              <w:rFonts w:ascii="Montserrat" w:hAnsi="Montserrat"/>
              <w:sz w:val="16"/>
              <w:szCs w:val="16"/>
            </w:rPr>
            <w:t xml:space="preserve">, д. 8</w:t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  <w:p>
          <w:pPr>
            <w:pStyle w:val="1247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666" w:type="dxa"/>
          <w:textDirection w:val="lrTb"/>
          <w:noWrap w:val="false"/>
        </w:tcPr>
        <w:p>
          <w:pPr>
            <w:pStyle w:val="1247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47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47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47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301" w:type="dxa"/>
          <w:textDirection w:val="lrTb"/>
          <w:noWrap w:val="false"/>
        </w:tcPr>
        <w:p>
          <w:pPr>
            <w:pStyle w:val="1247"/>
            <w:pBdr/>
            <w:spacing/>
            <w:ind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</w:r>
          <w:r>
            <w:rPr>
              <w:rFonts w:ascii="Montserrat" w:hAnsi="Montserrat"/>
              <w:bCs/>
              <w:iCs/>
              <w:sz w:val="16"/>
              <w:szCs w:val="16"/>
            </w:rPr>
          </w:r>
          <w:r>
            <w:rPr>
              <w:rFonts w:ascii="Montserrat" w:hAnsi="Montserrat"/>
              <w:bCs/>
              <w:iCs/>
              <w:sz w:val="16"/>
              <w:szCs w:val="16"/>
            </w:rPr>
          </w:r>
        </w:p>
        <w:p>
          <w:pPr>
            <w:pStyle w:val="1247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861 992-53-83</w:t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</w:tr>
  </w:tbl>
  <w:p>
    <w:pPr>
      <w:pStyle w:val="1247"/>
      <w:pBdr/>
      <w:spacing/>
      <w:ind/>
      <w:rPr/>
    </w:pPr>
    <w:r>
      <w:rPr>
        <w:rFonts w:ascii="Calibri" w:hAnsi="Calibri" w:eastAsia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Bdr>
                              <w:top w:val="single" w:color="d8d8d8" w:themeColor="background1" w:themeShade="D8" w:sz="4" w:space="1"/>
                            </w:pBdr>
                            <w:spacing/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1" type="#_x0000_t1" style="position:absolute;z-index:251661824;o:allowoverlap:true;o:allowincell:false;mso-position-horizontal-relative:left-margin-area;margin-left:4.60pt;mso-position-horizontal:absolute;mso-position-vertical-relative:margin;margin-top:3.95pt;mso-position-vertical:absolute;width:64.50pt;height:34.15pt;mso-wrap-distance-left:9.00pt;mso-wrap-distance-top:0.00pt;mso-wrap-distance-right:9.00pt;mso-wrap-distance-bottom:0.00pt;v-text-anchor:top;visibility:visible;" fillcolor="#FFFFFF">
              <v:textbox inset="0,0,0,0">
                <w:txbxContent>
                  <w:p>
                    <w:pPr>
                      <w:pBdr>
                        <w:top w:val="single" w:color="d8d8d8" w:themeColor="background1" w:themeShade="D8" w:sz="4" w:space="1"/>
                      </w:pBdr>
                      <w:spacing/>
                      <w:ind/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styleLink w:val="1279"/>
    <w:lvl w:ilvl="0">
      <w:isLgl w:val="false"/>
      <w:lvlJc w:val="left"/>
      <w:lvlText w:val=""/>
      <w:numFmt w:val="bullet"/>
      <w:pPr>
        <w:pBdr/>
        <w:spacing/>
        <w:ind/>
      </w:pPr>
      <w:pStyle w:val="1279"/>
      <w:rPr>
        <w:rFonts w:ascii="Wingdings" w:hAnsi="Wingdings" w:cs="Wingdings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8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styleLink w:val="1280"/>
    <w:lvl w:ilvl="0">
      <w:isLgl w:val="false"/>
      <w:lvlJc w:val="left"/>
      <w:lvlText w:val=""/>
      <w:numFmt w:val="bullet"/>
      <w:pPr>
        <w:pBdr/>
        <w:spacing/>
        <w:ind/>
      </w:pPr>
      <w:pStyle w:val="1280"/>
      <w:rPr>
        <w:rFonts w:ascii="Wingdings" w:hAnsi="Wingdings" w:cs="Wingdings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1"/>
  </w:num>
  <w:num w:numId="5">
    <w:abstractNumId w:val="24"/>
  </w:num>
  <w:num w:numId="6">
    <w:abstractNumId w:val="7"/>
  </w:num>
  <w:num w:numId="7">
    <w:abstractNumId w:val="22"/>
  </w:num>
  <w:num w:numId="8">
    <w:abstractNumId w:val="1"/>
  </w:num>
  <w:num w:numId="9">
    <w:abstractNumId w:val="19"/>
  </w:num>
  <w:num w:numId="10">
    <w:abstractNumId w:val="14"/>
  </w:num>
  <w:num w:numId="11">
    <w:abstractNumId w:val="25"/>
  </w:num>
  <w:num w:numId="12">
    <w:abstractNumId w:val="6"/>
  </w:num>
  <w:num w:numId="13">
    <w:abstractNumId w:val="9"/>
  </w:num>
  <w:num w:numId="14">
    <w:abstractNumId w:val="16"/>
  </w:num>
  <w:num w:numId="15">
    <w:abstractNumId w:val="15"/>
  </w:num>
  <w:num w:numId="16">
    <w:abstractNumId w:val="26"/>
  </w:num>
  <w:num w:numId="17">
    <w:abstractNumId w:val="8"/>
  </w:num>
  <w:num w:numId="18">
    <w:abstractNumId w:val="13"/>
  </w:num>
  <w:num w:numId="19">
    <w:abstractNumId w:val="23"/>
  </w:num>
  <w:num w:numId="20">
    <w:abstractNumId w:val="4"/>
  </w:num>
  <w:num w:numId="21">
    <w:abstractNumId w:val="0"/>
  </w:num>
  <w:num w:numId="22">
    <w:abstractNumId w:val="18"/>
  </w:num>
  <w:num w:numId="23">
    <w:abstractNumId w:val="2"/>
  </w:num>
  <w:num w:numId="24">
    <w:abstractNumId w:val="5"/>
  </w:num>
  <w:num w:numId="25">
    <w:abstractNumId w:val="12"/>
  </w:num>
  <w:num w:numId="26">
    <w:abstractNumId w:val="17"/>
  </w:num>
  <w:num w:numId="27">
    <w:abstractNumId w:val="20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53">
    <w:name w:val="Heading 2 Char"/>
    <w:basedOn w:val="1077"/>
    <w:link w:val="10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54">
    <w:name w:val="Heading 3 Char"/>
    <w:basedOn w:val="1077"/>
    <w:link w:val="10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55">
    <w:name w:val="Heading 5 Char"/>
    <w:basedOn w:val="1077"/>
    <w:link w:val="10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56">
    <w:name w:val="Heading 7 Char"/>
    <w:basedOn w:val="1077"/>
    <w:link w:val="10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57">
    <w:name w:val="Heading 8 Char"/>
    <w:basedOn w:val="1077"/>
    <w:link w:val="10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8">
    <w:name w:val="Heading 9 Char"/>
    <w:basedOn w:val="1077"/>
    <w:link w:val="10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9">
    <w:name w:val="Title Char"/>
    <w:basedOn w:val="1077"/>
    <w:link w:val="12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60">
    <w:name w:val="Subtitle Char"/>
    <w:basedOn w:val="1077"/>
    <w:link w:val="12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61">
    <w:name w:val="Quote Char"/>
    <w:basedOn w:val="1077"/>
    <w:link w:val="12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62">
    <w:name w:val="Intense Quote Char"/>
    <w:basedOn w:val="1077"/>
    <w:link w:val="12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63">
    <w:name w:val="Header Char"/>
    <w:basedOn w:val="1077"/>
    <w:link w:val="1247"/>
    <w:uiPriority w:val="99"/>
    <w:pPr>
      <w:pBdr/>
      <w:spacing/>
      <w:ind/>
    </w:pPr>
  </w:style>
  <w:style w:type="character" w:styleId="1064">
    <w:name w:val="Footer Char"/>
    <w:basedOn w:val="1077"/>
    <w:link w:val="1248"/>
    <w:uiPriority w:val="99"/>
    <w:pPr>
      <w:pBdr/>
      <w:spacing/>
      <w:ind/>
    </w:pPr>
  </w:style>
  <w:style w:type="character" w:styleId="1065">
    <w:name w:val="Footnote Text Char"/>
    <w:basedOn w:val="1077"/>
    <w:link w:val="1230"/>
    <w:uiPriority w:val="99"/>
    <w:semiHidden/>
    <w:pPr>
      <w:pBdr/>
      <w:spacing/>
      <w:ind/>
    </w:pPr>
    <w:rPr>
      <w:sz w:val="20"/>
      <w:szCs w:val="20"/>
    </w:rPr>
  </w:style>
  <w:style w:type="character" w:styleId="1066">
    <w:name w:val="Endnote Text Char"/>
    <w:basedOn w:val="1077"/>
    <w:link w:val="1233"/>
    <w:uiPriority w:val="99"/>
    <w:semiHidden/>
    <w:pPr>
      <w:pBdr/>
      <w:spacing/>
      <w:ind/>
    </w:pPr>
    <w:rPr>
      <w:sz w:val="20"/>
      <w:szCs w:val="20"/>
    </w:rPr>
  </w:style>
  <w:style w:type="paragraph" w:styleId="1067" w:default="1">
    <w:name w:val="Normal"/>
    <w:qFormat/>
    <w:pPr>
      <w:pBdr/>
      <w:spacing/>
      <w:ind/>
    </w:pPr>
    <w:rPr>
      <w:sz w:val="24"/>
      <w:szCs w:val="24"/>
    </w:rPr>
  </w:style>
  <w:style w:type="paragraph" w:styleId="1068">
    <w:name w:val="Heading 1"/>
    <w:basedOn w:val="1067"/>
    <w:next w:val="1067"/>
    <w:link w:val="1273"/>
    <w:qFormat/>
    <w:pPr>
      <w:keepNext w:val="true"/>
      <w:pBdr/>
      <w:spacing/>
      <w:ind/>
      <w:outlineLvl w:val="0"/>
    </w:pPr>
    <w:rPr>
      <w:b/>
      <w:sz w:val="20"/>
      <w:szCs w:val="20"/>
    </w:rPr>
  </w:style>
  <w:style w:type="paragraph" w:styleId="1069">
    <w:name w:val="Heading 2"/>
    <w:basedOn w:val="1067"/>
    <w:next w:val="1067"/>
    <w:link w:val="1206"/>
    <w:qFormat/>
    <w:pPr>
      <w:keepNext w:val="true"/>
      <w:pBdr/>
      <w:spacing/>
      <w:ind/>
      <w:jc w:val="center"/>
      <w:outlineLvl w:val="1"/>
    </w:pPr>
    <w:rPr>
      <w:rFonts w:ascii="Arial" w:hAnsi="Arial"/>
      <w:b/>
      <w:szCs w:val="20"/>
    </w:rPr>
  </w:style>
  <w:style w:type="paragraph" w:styleId="1070">
    <w:name w:val="Heading 3"/>
    <w:basedOn w:val="1067"/>
    <w:next w:val="1067"/>
    <w:link w:val="1207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1071">
    <w:name w:val="Heading 4"/>
    <w:basedOn w:val="1067"/>
    <w:next w:val="1067"/>
    <w:link w:val="1271"/>
    <w:unhideWhenUsed/>
    <w:qFormat/>
    <w:pPr>
      <w:keepNext w:val="true"/>
      <w:keepLines w:val="true"/>
      <w:pBdr/>
      <w:spacing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1072">
    <w:name w:val="Heading 5"/>
    <w:basedOn w:val="1067"/>
    <w:next w:val="1067"/>
    <w:link w:val="12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73">
    <w:name w:val="Heading 6"/>
    <w:basedOn w:val="1067"/>
    <w:next w:val="1067"/>
    <w:link w:val="1270"/>
    <w:semiHidden/>
    <w:unhideWhenUsed/>
    <w:qFormat/>
    <w:pPr>
      <w:keepNext w:val="true"/>
      <w:keepLines w:val="true"/>
      <w:pBdr/>
      <w:spacing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1074">
    <w:name w:val="Heading 7"/>
    <w:basedOn w:val="1067"/>
    <w:next w:val="1067"/>
    <w:link w:val="12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75">
    <w:name w:val="Heading 8"/>
    <w:basedOn w:val="1067"/>
    <w:next w:val="1067"/>
    <w:link w:val="121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76">
    <w:name w:val="Heading 9"/>
    <w:basedOn w:val="1067"/>
    <w:next w:val="1067"/>
    <w:link w:val="121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77" w:default="1">
    <w:name w:val="Default Paragraph Font"/>
    <w:uiPriority w:val="1"/>
    <w:semiHidden/>
    <w:unhideWhenUsed/>
    <w:pPr>
      <w:pBdr/>
      <w:spacing/>
      <w:ind/>
    </w:pPr>
  </w:style>
  <w:style w:type="table" w:styleId="10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79" w:default="1">
    <w:name w:val="No List"/>
    <w:uiPriority w:val="99"/>
    <w:semiHidden/>
    <w:unhideWhenUsed/>
    <w:pPr>
      <w:pBdr/>
      <w:spacing/>
      <w:ind/>
    </w:pPr>
  </w:style>
  <w:style w:type="table" w:styleId="1080" w:customStyle="1">
    <w:name w:val="Table Grid Light"/>
    <w:basedOn w:val="107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Plain Table 1"/>
    <w:basedOn w:val="107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Plain Table 2"/>
    <w:basedOn w:val="1078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Plain Table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Plain Table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Plain Table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1 Light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1 Light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1 Light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1 Light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1 Light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1 Light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1 Light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2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2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2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2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Grid Table 2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2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3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3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3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3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Grid Table 3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3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4"/>
    <w:basedOn w:val="107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4 - Accent 1"/>
    <w:basedOn w:val="107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4 - Accent 2"/>
    <w:basedOn w:val="107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4 - Accent 3"/>
    <w:basedOn w:val="107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4 - Accent 4"/>
    <w:basedOn w:val="107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Grid Table 4 - Accent 5"/>
    <w:basedOn w:val="107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4 - Accent 6"/>
    <w:basedOn w:val="107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5 Dark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5 Dark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5 Dark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5 Dark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5 Dark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5 Dark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5 Dark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6 Colorful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6 Colorful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6 Colorful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6 Colorful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6 Colorful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6 Colorful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6 Colorful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7 Colorful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7 Colorful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7 Colorful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7 Colorful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7 Colorful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7 Colorful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7 Colorful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1 Light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1 Light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1 Light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1 Light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1 Light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1 Light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1 Light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2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2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2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2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st Table 2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2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3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3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3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3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st Table 3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3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4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4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4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4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List Table 4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4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5 Dark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5 Dark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5 Dark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5 Dark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5 Dark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5 Dark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st Table 5 Dark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6 Colorful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6 Colorful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6 Colorful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6 Colorful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6 Colorful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6 Colorful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st Table 6 Colorful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7 Colorful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7 Colorful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7 Colorful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7 Colorful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7 Colorful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7 Colorful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st Table 7 Colorful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ned - Accent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ned - Accent 1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ned - Accent 2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ned - Accent 3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ned - Accent 4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ned - Accent 5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ned - Accent 6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Bordered &amp; Lined - Accent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Bordered &amp; Lined - Accent 1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Bordered &amp; Lined - Accent 2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Bordered &amp; Lined - Accent 3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Bordered &amp; Lined - Accent 4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Bordered &amp; Lined - Accent 5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Bordered &amp; Lined - Accent 6"/>
    <w:basedOn w:val="107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Bordered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Bordered - Accent 1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Bordered - Accent 2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Bordered - Accent 3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Bordered - Accent 4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Bordered - Accent 5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Bordered - Accent 6"/>
    <w:basedOn w:val="107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05" w:customStyle="1">
    <w:name w:val="Heading 1 Char"/>
    <w:basedOn w:val="10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206" w:customStyle="1">
    <w:name w:val="Заголовок 2 Знак"/>
    <w:basedOn w:val="1077"/>
    <w:link w:val="10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207" w:customStyle="1">
    <w:name w:val="Заголовок 3 Знак"/>
    <w:basedOn w:val="1077"/>
    <w:link w:val="10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208" w:customStyle="1">
    <w:name w:val="Heading 4 Char"/>
    <w:basedOn w:val="107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209" w:customStyle="1">
    <w:name w:val="Заголовок 5 Знак"/>
    <w:basedOn w:val="1077"/>
    <w:link w:val="10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210" w:customStyle="1">
    <w:name w:val="Heading 6 Char"/>
    <w:basedOn w:val="10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211" w:customStyle="1">
    <w:name w:val="Заголовок 7 Знак"/>
    <w:basedOn w:val="1077"/>
    <w:link w:val="10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212" w:customStyle="1">
    <w:name w:val="Заголовок 8 Знак"/>
    <w:basedOn w:val="1077"/>
    <w:link w:val="10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213" w:customStyle="1">
    <w:name w:val="Заголовок 9 Знак"/>
    <w:basedOn w:val="1077"/>
    <w:link w:val="10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214">
    <w:name w:val="Title"/>
    <w:basedOn w:val="1067"/>
    <w:next w:val="1067"/>
    <w:link w:val="121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215" w:customStyle="1">
    <w:name w:val="Название Знак"/>
    <w:basedOn w:val="1077"/>
    <w:link w:val="12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216">
    <w:name w:val="Subtitle"/>
    <w:basedOn w:val="1067"/>
    <w:next w:val="1067"/>
    <w:link w:val="12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217" w:customStyle="1">
    <w:name w:val="Подзаголовок Знак"/>
    <w:basedOn w:val="1077"/>
    <w:link w:val="12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218">
    <w:name w:val="Quote"/>
    <w:basedOn w:val="1067"/>
    <w:next w:val="1067"/>
    <w:link w:val="12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219" w:customStyle="1">
    <w:name w:val="Цитата 2 Знак"/>
    <w:basedOn w:val="1077"/>
    <w:link w:val="12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220">
    <w:name w:val="Intense Emphasis"/>
    <w:basedOn w:val="10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221">
    <w:name w:val="Intense Quote"/>
    <w:basedOn w:val="1067"/>
    <w:next w:val="1067"/>
    <w:link w:val="12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222" w:customStyle="1">
    <w:name w:val="Выделенная цитата Знак"/>
    <w:basedOn w:val="1077"/>
    <w:link w:val="12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223">
    <w:name w:val="Intense Reference"/>
    <w:basedOn w:val="10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224">
    <w:name w:val="Subtle Emphasis"/>
    <w:basedOn w:val="10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225">
    <w:name w:val="Subtle Reference"/>
    <w:basedOn w:val="10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226">
    <w:name w:val="Book Title"/>
    <w:basedOn w:val="10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227" w:customStyle="1">
    <w:name w:val="Верхний колонтитул Знак"/>
    <w:basedOn w:val="1077"/>
    <w:link w:val="1247"/>
    <w:uiPriority w:val="99"/>
    <w:pPr>
      <w:pBdr/>
      <w:spacing/>
      <w:ind/>
    </w:pPr>
  </w:style>
  <w:style w:type="character" w:styleId="1228" w:customStyle="1">
    <w:name w:val="Нижний колонтитул Знак"/>
    <w:basedOn w:val="1077"/>
    <w:link w:val="1248"/>
    <w:uiPriority w:val="99"/>
    <w:pPr>
      <w:pBdr/>
      <w:spacing/>
      <w:ind/>
    </w:pPr>
  </w:style>
  <w:style w:type="paragraph" w:styleId="1229">
    <w:name w:val="Caption"/>
    <w:basedOn w:val="1067"/>
    <w:next w:val="106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230">
    <w:name w:val="footnote text"/>
    <w:basedOn w:val="1067"/>
    <w:link w:val="123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231" w:customStyle="1">
    <w:name w:val="Текст сноски Знак"/>
    <w:basedOn w:val="1077"/>
    <w:link w:val="1230"/>
    <w:uiPriority w:val="99"/>
    <w:semiHidden/>
    <w:pPr>
      <w:pBdr/>
      <w:spacing/>
      <w:ind/>
    </w:pPr>
    <w:rPr>
      <w:sz w:val="20"/>
      <w:szCs w:val="20"/>
    </w:rPr>
  </w:style>
  <w:style w:type="character" w:styleId="1232">
    <w:name w:val="footnote reference"/>
    <w:basedOn w:val="1077"/>
    <w:uiPriority w:val="99"/>
    <w:semiHidden/>
    <w:unhideWhenUsed/>
    <w:pPr>
      <w:pBdr/>
      <w:spacing/>
      <w:ind/>
    </w:pPr>
    <w:rPr>
      <w:vertAlign w:val="superscript"/>
    </w:rPr>
  </w:style>
  <w:style w:type="paragraph" w:styleId="1233">
    <w:name w:val="endnote text"/>
    <w:basedOn w:val="1067"/>
    <w:link w:val="123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234" w:customStyle="1">
    <w:name w:val="Текст концевой сноски Знак"/>
    <w:basedOn w:val="1077"/>
    <w:link w:val="1233"/>
    <w:uiPriority w:val="99"/>
    <w:semiHidden/>
    <w:pPr>
      <w:pBdr/>
      <w:spacing/>
      <w:ind/>
    </w:pPr>
    <w:rPr>
      <w:sz w:val="20"/>
      <w:szCs w:val="20"/>
    </w:rPr>
  </w:style>
  <w:style w:type="character" w:styleId="1235">
    <w:name w:val="endnote reference"/>
    <w:basedOn w:val="1077"/>
    <w:uiPriority w:val="99"/>
    <w:semiHidden/>
    <w:unhideWhenUsed/>
    <w:pPr>
      <w:pBdr/>
      <w:spacing/>
      <w:ind/>
    </w:pPr>
    <w:rPr>
      <w:vertAlign w:val="superscript"/>
    </w:rPr>
  </w:style>
  <w:style w:type="paragraph" w:styleId="1236">
    <w:name w:val="toc 1"/>
    <w:basedOn w:val="1067"/>
    <w:next w:val="1067"/>
    <w:uiPriority w:val="39"/>
    <w:unhideWhenUsed/>
    <w:pPr>
      <w:pBdr/>
      <w:spacing w:after="100"/>
      <w:ind/>
    </w:pPr>
  </w:style>
  <w:style w:type="paragraph" w:styleId="1237">
    <w:name w:val="toc 2"/>
    <w:basedOn w:val="1067"/>
    <w:next w:val="1067"/>
    <w:uiPriority w:val="39"/>
    <w:unhideWhenUsed/>
    <w:pPr>
      <w:pBdr/>
      <w:spacing w:after="100"/>
      <w:ind w:left="220"/>
    </w:pPr>
  </w:style>
  <w:style w:type="paragraph" w:styleId="1238">
    <w:name w:val="toc 3"/>
    <w:basedOn w:val="1067"/>
    <w:next w:val="1067"/>
    <w:uiPriority w:val="39"/>
    <w:unhideWhenUsed/>
    <w:pPr>
      <w:pBdr/>
      <w:spacing w:after="100"/>
      <w:ind w:left="440"/>
    </w:pPr>
  </w:style>
  <w:style w:type="paragraph" w:styleId="1239">
    <w:name w:val="toc 4"/>
    <w:basedOn w:val="1067"/>
    <w:next w:val="1067"/>
    <w:uiPriority w:val="39"/>
    <w:unhideWhenUsed/>
    <w:pPr>
      <w:pBdr/>
      <w:spacing w:after="100"/>
      <w:ind w:left="660"/>
    </w:pPr>
  </w:style>
  <w:style w:type="paragraph" w:styleId="1240">
    <w:name w:val="toc 5"/>
    <w:basedOn w:val="1067"/>
    <w:next w:val="1067"/>
    <w:uiPriority w:val="39"/>
    <w:unhideWhenUsed/>
    <w:pPr>
      <w:pBdr/>
      <w:spacing w:after="100"/>
      <w:ind w:left="880"/>
    </w:pPr>
  </w:style>
  <w:style w:type="paragraph" w:styleId="1241">
    <w:name w:val="toc 6"/>
    <w:basedOn w:val="1067"/>
    <w:next w:val="1067"/>
    <w:uiPriority w:val="39"/>
    <w:unhideWhenUsed/>
    <w:pPr>
      <w:pBdr/>
      <w:spacing w:after="100"/>
      <w:ind w:left="1100"/>
    </w:pPr>
  </w:style>
  <w:style w:type="paragraph" w:styleId="1242">
    <w:name w:val="toc 7"/>
    <w:basedOn w:val="1067"/>
    <w:next w:val="1067"/>
    <w:uiPriority w:val="39"/>
    <w:unhideWhenUsed/>
    <w:pPr>
      <w:pBdr/>
      <w:spacing w:after="100"/>
      <w:ind w:left="1320"/>
    </w:pPr>
  </w:style>
  <w:style w:type="paragraph" w:styleId="1243">
    <w:name w:val="toc 8"/>
    <w:basedOn w:val="1067"/>
    <w:next w:val="1067"/>
    <w:uiPriority w:val="39"/>
    <w:unhideWhenUsed/>
    <w:pPr>
      <w:pBdr/>
      <w:spacing w:after="100"/>
      <w:ind w:left="1540"/>
    </w:pPr>
  </w:style>
  <w:style w:type="paragraph" w:styleId="1244">
    <w:name w:val="toc 9"/>
    <w:basedOn w:val="1067"/>
    <w:next w:val="1067"/>
    <w:uiPriority w:val="39"/>
    <w:unhideWhenUsed/>
    <w:pPr>
      <w:pBdr/>
      <w:spacing w:after="100"/>
      <w:ind w:left="1760"/>
    </w:pPr>
  </w:style>
  <w:style w:type="paragraph" w:styleId="1245">
    <w:name w:val="TOC Heading"/>
    <w:uiPriority w:val="39"/>
    <w:unhideWhenUsed/>
    <w:pPr>
      <w:pBdr/>
      <w:spacing/>
      <w:ind/>
    </w:pPr>
  </w:style>
  <w:style w:type="paragraph" w:styleId="1246">
    <w:name w:val="table of figures"/>
    <w:basedOn w:val="1067"/>
    <w:next w:val="1067"/>
    <w:uiPriority w:val="99"/>
    <w:unhideWhenUsed/>
    <w:pPr>
      <w:pBdr/>
      <w:spacing/>
      <w:ind/>
    </w:pPr>
  </w:style>
  <w:style w:type="paragraph" w:styleId="1247">
    <w:name w:val="Header"/>
    <w:basedOn w:val="1067"/>
    <w:link w:val="1227"/>
    <w:pPr>
      <w:pBdr/>
      <w:tabs>
        <w:tab w:val="center" w:leader="none" w:pos="4153"/>
        <w:tab w:val="right" w:leader="none" w:pos="8306"/>
      </w:tabs>
      <w:spacing/>
      <w:ind/>
    </w:pPr>
    <w:rPr>
      <w:sz w:val="20"/>
      <w:szCs w:val="20"/>
    </w:rPr>
  </w:style>
  <w:style w:type="paragraph" w:styleId="1248">
    <w:name w:val="Footer"/>
    <w:basedOn w:val="1067"/>
    <w:link w:val="1228"/>
    <w:pPr>
      <w:pBdr/>
      <w:tabs>
        <w:tab w:val="center" w:leader="none" w:pos="4153"/>
        <w:tab w:val="right" w:leader="none" w:pos="8306"/>
      </w:tabs>
      <w:spacing/>
      <w:ind/>
    </w:pPr>
    <w:rPr>
      <w:sz w:val="20"/>
      <w:szCs w:val="20"/>
    </w:rPr>
  </w:style>
  <w:style w:type="character" w:styleId="1249">
    <w:name w:val="page number"/>
    <w:basedOn w:val="1077"/>
    <w:pPr>
      <w:pBdr/>
      <w:spacing/>
      <w:ind/>
    </w:pPr>
  </w:style>
  <w:style w:type="paragraph" w:styleId="1250">
    <w:name w:val="Balloon Text"/>
    <w:basedOn w:val="106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251">
    <w:name w:val="Strong"/>
    <w:uiPriority w:val="22"/>
    <w:qFormat/>
    <w:pPr>
      <w:pBdr/>
      <w:spacing/>
      <w:ind/>
    </w:pPr>
    <w:rPr>
      <w:b/>
      <w:bCs/>
    </w:rPr>
  </w:style>
  <w:style w:type="paragraph" w:styleId="1252">
    <w:name w:val="Normal (Web)"/>
    <w:basedOn w:val="1067"/>
    <w:uiPriority w:val="99"/>
    <w:pPr>
      <w:pBdr/>
      <w:spacing w:after="100" w:afterAutospacing="1" w:before="100" w:beforeAutospacing="1"/>
      <w:ind/>
    </w:pPr>
  </w:style>
  <w:style w:type="character" w:styleId="1253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254">
    <w:name w:val="Emphasis"/>
    <w:qFormat/>
    <w:pPr>
      <w:pBdr/>
      <w:spacing/>
      <w:ind/>
    </w:pPr>
    <w:rPr>
      <w:i/>
      <w:iCs/>
    </w:rPr>
  </w:style>
  <w:style w:type="character" w:styleId="1255" w:customStyle="1">
    <w:name w:val="apple-style-span"/>
    <w:basedOn w:val="1077"/>
    <w:pPr>
      <w:pBdr/>
      <w:spacing/>
      <w:ind/>
    </w:pPr>
  </w:style>
  <w:style w:type="paragraph" w:styleId="1256">
    <w:name w:val="Body Text Indent 2"/>
    <w:basedOn w:val="1067"/>
    <w:pPr>
      <w:pBdr/>
      <w:spacing/>
      <w:ind w:firstLine="709"/>
      <w:jc w:val="both"/>
    </w:pPr>
  </w:style>
  <w:style w:type="character" w:styleId="1257" w:customStyle="1">
    <w:name w:val="apple-converted-space"/>
    <w:basedOn w:val="1077"/>
    <w:pPr>
      <w:pBdr/>
      <w:spacing/>
      <w:ind/>
    </w:pPr>
  </w:style>
  <w:style w:type="paragraph" w:styleId="1258">
    <w:name w:val="Body Text Indent"/>
    <w:basedOn w:val="1067"/>
    <w:pPr>
      <w:pBdr/>
      <w:spacing w:after="120"/>
      <w:ind w:left="283"/>
    </w:pPr>
  </w:style>
  <w:style w:type="paragraph" w:styleId="1259">
    <w:name w:val="Body Text"/>
    <w:basedOn w:val="1067"/>
    <w:pPr>
      <w:pBdr/>
      <w:spacing w:after="120"/>
      <w:ind/>
    </w:pPr>
    <w:rPr>
      <w:lang w:eastAsia="ar-SA"/>
    </w:rPr>
  </w:style>
  <w:style w:type="paragraph" w:styleId="1260" w:customStyle="1">
    <w:name w:val="Знак"/>
    <w:basedOn w:val="1067"/>
    <w:pPr>
      <w:pBdr/>
      <w:spacing w:after="160" w:line="240" w:lineRule="exact"/>
      <w:ind/>
    </w:pPr>
    <w:rPr>
      <w:rFonts w:ascii="Verdana" w:hAnsi="Verdana"/>
      <w:sz w:val="20"/>
      <w:szCs w:val="20"/>
      <w:lang w:val="en-US" w:eastAsia="en-US"/>
    </w:rPr>
  </w:style>
  <w:style w:type="character" w:styleId="1261">
    <w:name w:val="FollowedHyperlink"/>
    <w:pPr>
      <w:pBdr/>
      <w:spacing/>
      <w:ind/>
    </w:pPr>
    <w:rPr>
      <w:color w:val="800080"/>
      <w:u w:val="single"/>
    </w:rPr>
  </w:style>
  <w:style w:type="paragraph" w:styleId="1262">
    <w:name w:val="Document Map"/>
    <w:basedOn w:val="1067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1263" w:customStyle="1">
    <w:name w:val="Текст документа"/>
    <w:basedOn w:val="1252"/>
    <w:link w:val="1264"/>
    <w:pPr>
      <w:pBdr/>
      <w:spacing/>
      <w:ind/>
      <w:jc w:val="both"/>
    </w:pPr>
    <w:rPr>
      <w:rFonts w:eastAsia="Verdana"/>
      <w:color w:val="000000"/>
      <w:szCs w:val="28"/>
    </w:rPr>
  </w:style>
  <w:style w:type="character" w:styleId="1264" w:customStyle="1">
    <w:name w:val="Текст документа Знак"/>
    <w:link w:val="1263"/>
    <w:pPr>
      <w:pBdr/>
      <w:spacing/>
      <w:ind/>
    </w:pPr>
    <w:rPr>
      <w:rFonts w:eastAsia="Verdana"/>
      <w:color w:val="000000"/>
      <w:sz w:val="24"/>
      <w:szCs w:val="28"/>
      <w:lang w:bidi="ar-SA"/>
    </w:rPr>
  </w:style>
  <w:style w:type="paragraph" w:styleId="1265">
    <w:name w:val="Plain Text"/>
    <w:basedOn w:val="1067"/>
    <w:link w:val="1266"/>
    <w:unhideWhenUsed/>
    <w:pPr>
      <w:pBdr/>
      <w:spacing/>
      <w:ind/>
    </w:pPr>
    <w:rPr>
      <w:rFonts w:ascii="Calibri" w:hAnsi="Calibri" w:eastAsia="Calibri"/>
      <w:sz w:val="22"/>
      <w:szCs w:val="21"/>
      <w:lang w:eastAsia="en-US"/>
    </w:rPr>
  </w:style>
  <w:style w:type="character" w:styleId="1266" w:customStyle="1">
    <w:name w:val="Текст Знак"/>
    <w:link w:val="1265"/>
    <w:pPr>
      <w:pBdr/>
      <w:spacing/>
      <w:ind/>
    </w:pPr>
    <w:rPr>
      <w:rFonts w:ascii="Calibri" w:hAnsi="Calibri" w:eastAsia="Calibri"/>
      <w:sz w:val="22"/>
      <w:szCs w:val="21"/>
      <w:lang w:val="ru-RU" w:eastAsia="en-US" w:bidi="ar-SA"/>
    </w:rPr>
  </w:style>
  <w:style w:type="paragraph" w:styleId="1267">
    <w:name w:val="List Paragraph"/>
    <w:basedOn w:val="1067"/>
    <w:qFormat/>
    <w:pPr>
      <w:pBdr/>
      <w:spacing w:line="276" w:lineRule="auto"/>
      <w:ind w:left="720"/>
      <w:contextualSpacing w:val="true"/>
    </w:pPr>
    <w:rPr>
      <w:rFonts w:eastAsia="Calibri"/>
      <w:szCs w:val="22"/>
      <w:lang w:eastAsia="en-US"/>
    </w:rPr>
  </w:style>
  <w:style w:type="table" w:styleId="1268">
    <w:name w:val="Table Grid"/>
    <w:basedOn w:val="1078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69" w:customStyle="1">
    <w:name w:val="text-highlight"/>
    <w:pPr>
      <w:pBdr/>
      <w:spacing/>
      <w:ind/>
    </w:pPr>
  </w:style>
  <w:style w:type="character" w:styleId="1270" w:customStyle="1">
    <w:name w:val="Заголовок 6 Знак"/>
    <w:basedOn w:val="1077"/>
    <w:link w:val="1073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  <w:style w:type="character" w:styleId="1271" w:customStyle="1">
    <w:name w:val="Заголовок 4 Знак"/>
    <w:basedOn w:val="1077"/>
    <w:link w:val="1071"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</w:rPr>
  </w:style>
  <w:style w:type="paragraph" w:styleId="1272">
    <w:name w:val="No Spacing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1273" w:customStyle="1">
    <w:name w:val="Заголовок 1 Знак"/>
    <w:basedOn w:val="1077"/>
    <w:link w:val="1068"/>
    <w:pPr>
      <w:pBdr/>
      <w:spacing/>
      <w:ind/>
    </w:pPr>
    <w:rPr>
      <w:b/>
    </w:rPr>
  </w:style>
  <w:style w:type="character" w:styleId="1274" w:customStyle="1">
    <w:name w:val="x-ph__menu__button"/>
    <w:basedOn w:val="1077"/>
    <w:pPr>
      <w:pBdr/>
      <w:spacing/>
      <w:ind/>
    </w:pPr>
  </w:style>
  <w:style w:type="character" w:styleId="1275" w:customStyle="1">
    <w:name w:val="Неразрешенное упоминание1"/>
    <w:basedOn w:val="107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276" w:customStyle="1">
    <w:name w:val="markedcontent"/>
    <w:basedOn w:val="1077"/>
    <w:pPr>
      <w:pBdr/>
      <w:spacing/>
      <w:ind/>
    </w:pPr>
  </w:style>
  <w:style w:type="character" w:styleId="1277" w:customStyle="1">
    <w:name w:val="matching-text-highlight"/>
    <w:basedOn w:val="1077"/>
    <w:pPr>
      <w:pBdr/>
      <w:spacing/>
      <w:ind/>
    </w:pPr>
  </w:style>
  <w:style w:type="paragraph" w:styleId="1278" w:customStyle="1">
    <w:name w:val="Standard"/>
    <w:pPr>
      <w:pBdr/>
      <w:spacing/>
      <w:ind/>
    </w:pPr>
    <w:rPr>
      <w:color w:val="00000a"/>
      <w:sz w:val="24"/>
      <w:szCs w:val="24"/>
    </w:rPr>
  </w:style>
  <w:style w:type="numbering" w:styleId="1279" w:customStyle="1">
    <w:name w:val="WWNum1"/>
    <w:basedOn w:val="1079"/>
    <w:pPr>
      <w:numPr>
        <w:numId w:val="26"/>
      </w:numPr>
      <w:pBdr/>
      <w:spacing/>
      <w:ind/>
    </w:pPr>
  </w:style>
  <w:style w:type="numbering" w:styleId="1280" w:customStyle="1">
    <w:name w:val="WWNum2"/>
    <w:basedOn w:val="1079"/>
    <w:pPr>
      <w:numPr>
        <w:numId w:val="27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sfr.gov.ru/contacts/ks/" TargetMode="External"/><Relationship Id="rId15" Type="http://schemas.openxmlformats.org/officeDocument/2006/relationships/hyperlink" Target="https://max.ru" TargetMode="External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6907-4677-4BC9-B36A-3D8E9389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PFR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revision>6</cp:revision>
  <dcterms:created xsi:type="dcterms:W3CDTF">2026-03-18T11:40:00Z</dcterms:created>
  <dcterms:modified xsi:type="dcterms:W3CDTF">2026-03-25T09:40:13Z</dcterms:modified>
</cp:coreProperties>
</file>