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3d4146"/>
          <w:sz w:val="28"/>
          <w:szCs w:val="28"/>
        </w:rPr>
        <w:t xml:space="preserve">Какие законодательные акты, инициированные Росреестром, вступают в силу в 2026 году</w:t>
      </w:r>
      <w:r>
        <w:rPr>
          <w:sz w:val="28"/>
          <w:szCs w:val="28"/>
        </w:rPr>
      </w:r>
    </w:p>
    <w:p>
      <w:pPr>
        <w:ind w:left="0" w:right="0" w:firstLine="0"/>
        <w:spacing w:before="0" w:after="0"/>
        <w:rPr>
          <w:rFonts w:ascii="Roboto" w:hAnsi="Roboto" w:eastAsia="Roboto" w:cs="Roboto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92c2f"/>
          <w:sz w:val="21"/>
          <w:highlight w:val="none"/>
        </w:rPr>
      </w:r>
      <w:r>
        <w:rPr>
          <w:rFonts w:ascii="Roboto" w:hAnsi="Roboto" w:eastAsia="Roboto" w:cs="Roboto"/>
          <w:color w:val="292c2f"/>
          <w:sz w:val="21"/>
          <w:highlight w:val="none"/>
        </w:rPr>
      </w:r>
    </w:p>
    <w:p>
      <w:pPr>
        <w:ind w:left="0" w:right="0" w:firstLine="0"/>
        <w:spacing w:before="0" w:after="0"/>
        <w:rPr>
          <w:rFonts w:ascii="Tinos" w:hAnsi="Tinos" w:cs="Tinos"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Росреестр сообщает о ключевых законодательных изменениях, инициированных ведомством, которые вступают в силу в этом году.</w:t>
        <w:br/>
        <w:br/>
        <w:t xml:space="preserve">С 1 января 2026 года вступили в силу:</w:t>
        <w:br/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78"/>
        <w:numPr>
          <w:ilvl w:val="0"/>
          <w:numId w:val="4"/>
        </w:numPr>
        <w:ind w:right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Федеральный закон от 22.07.2024 </w:t>
      </w:r>
      <w:hyperlink r:id="rId9" w:tooltip="http://publication.pravo.gov.ru/document/0001202407220023" w:history="1">
        <w:r>
          <w:rPr>
            <w:rStyle w:val="820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№ 207-ФЗ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которым вводится досудебный механизм обжалования решений о приостановлении регистрации прав на недвижимость. Теперь это можно сделать в специальных апелляционных комиссиях, созданных при Росреестре.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78"/>
        <w:numPr>
          <w:ilvl w:val="0"/>
          <w:numId w:val="4"/>
        </w:numPr>
        <w:ind w:right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Федеральный закон </w:t>
      </w:r>
      <w:hyperlink r:id="rId10" w:tooltip="http://publication.pravo.gov.ru/document/0001202512280001" w:history="1">
        <w:r>
          <w:rPr>
            <w:rStyle w:val="820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№ 491</w:t>
        </w:r>
      </w:hyperlink>
      <w:r>
        <w:rPr>
          <w:rFonts w:ascii="Tinos" w:hAnsi="Tinos" w:eastAsia="Tinos" w:cs="Tinos"/>
          <w:color w:val="292c2f"/>
          <w:sz w:val="28"/>
          <w:szCs w:val="28"/>
        </w:rPr>
        <w:t xml:space="preserve"> от 28.12.2025, которым прекращена реализация Госкомрегистром в Республике Крым и Севреестром в городе Севастополь полномочий по регистрации прав и кадастровому учету объектов недвижимости. С 01.01.2026 г. эти полномочия возвращены территориальным органам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Росреестра.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78"/>
        <w:numPr>
          <w:ilvl w:val="0"/>
          <w:numId w:val="4"/>
        </w:numPr>
        <w:ind w:right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Федеральный закон </w:t>
      </w:r>
      <w:hyperlink r:id="rId11" w:tooltip="http://publication.pravo.gov.ru/document/0001202512280025" w:history="1">
        <w:r>
          <w:rPr>
            <w:rStyle w:val="820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№ 513-ФЗ</w:t>
        </w:r>
      </w:hyperlink>
      <w:r>
        <w:rPr>
          <w:rFonts w:ascii="Tinos" w:hAnsi="Tinos" w:eastAsia="Tinos" w:cs="Tinos"/>
          <w:color w:val="292c2f"/>
          <w:sz w:val="28"/>
          <w:szCs w:val="28"/>
        </w:rPr>
        <w:t xml:space="preserve"> от 28.12.2025, предусматривающий передачу ППК «Роскадастр» полномочий Росреестра по ведению фонда данных государственной кадастровой оценки, а также возможность направления правообладателями обращений по вопросам ГКО с использованием сервисов платформы НС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ПД.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78"/>
        <w:numPr>
          <w:ilvl w:val="0"/>
          <w:numId w:val="4"/>
        </w:numPr>
        <w:ind w:right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Федеральный закон № </w:t>
      </w:r>
      <w:hyperlink r:id="rId12" w:tooltip="http://publication.pravo.gov.ru/Document/View/0001202512280006" w:history="1">
        <w:r>
          <w:rPr>
            <w:rStyle w:val="820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496-ФЗ</w:t>
        </w:r>
      </w:hyperlink>
      <w:r>
        <w:rPr>
          <w:rFonts w:ascii="Tinos" w:hAnsi="Tinos" w:eastAsia="Tinos" w:cs="Tinos"/>
          <w:color w:val="292c2f"/>
          <w:sz w:val="28"/>
          <w:szCs w:val="28"/>
        </w:rPr>
        <w:t xml:space="preserve"> от 28.12.2025, которым на 5 лет продлевается переходный период действия норм законодательства о ЗОУИТ. В течение переходного периода будут действовать ранее принятые и еще не обновленные нормы о ЗОУИТ до их отмены.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78"/>
        <w:numPr>
          <w:ilvl w:val="0"/>
          <w:numId w:val="4"/>
        </w:numPr>
        <w:ind w:right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Федеральный закон </w:t>
      </w:r>
      <w:hyperlink r:id="rId13" w:tooltip="http://publication.pravo.gov.ru/Document/View/0001202408080128" w:history="1">
        <w:r>
          <w:rPr>
            <w:rStyle w:val="820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№ 321-ФЗ</w:t>
        </w:r>
      </w:hyperlink>
      <w:r>
        <w:rPr>
          <w:rFonts w:ascii="Tinos" w:hAnsi="Tinos" w:eastAsia="Tinos" w:cs="Tinos"/>
          <w:color w:val="292c2f"/>
          <w:sz w:val="28"/>
          <w:szCs w:val="28"/>
        </w:rPr>
        <w:t xml:space="preserve"> от 08.08.2024, по которому размер арендной платы за земельный участок, находящийся в государственной или муниципальной собственности, будет определяться на основании кадастровой стоимости такого участка.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С 1 марта 2026 года вступит в силу Закон </w:t>
      </w:r>
      <w:hyperlink r:id="rId14" w:tooltip="http://publication.pravo.gov.ru/document/0001202507310049" w:history="1">
        <w:r>
          <w:rPr>
            <w:rStyle w:val="820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№ 295-ФЗ</w:t>
        </w:r>
      </w:hyperlink>
      <w:r>
        <w:rPr>
          <w:rFonts w:ascii="Tinos" w:hAnsi="Tinos" w:eastAsia="Tinos" w:cs="Tinos"/>
          <w:color w:val="292c2f"/>
          <w:sz w:val="28"/>
          <w:szCs w:val="28"/>
        </w:rPr>
        <w:t xml:space="preserve"> от 31.07.2025, которым комплексно урегулированы вопросы по установлению видов разрешенного использования земельных участков. Законом определен порядок - кто, как и при каких условиях может выбрать вид разрешенного использования земельного участка.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С июля 2026 года вступит в силу Закон </w:t>
      </w:r>
      <w:hyperlink r:id="rId15" w:tooltip="http://publication.pravo.gov.ru/document/0001202512150043" w:history="1">
        <w:r>
          <w:rPr>
            <w:rStyle w:val="820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№ 478-ФЗ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от 15.12.2025, который предусматривает возможность внесения в ЕГРН сведений о границах сельхозугодий в составе земель сельхозназначения. Это позволит учитывать особенности правового режима сельхозугодий в ходе учетно-регистрационных действий и иных операц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ий с недвижимостью.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Roboto">
    <w:panose1 w:val="02000000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92c2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92c2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92c2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92c2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92c2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92c2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92c2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92c2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92c2f"/>
        <w:sz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publication.pravo.gov.ru/document/0001202407220023" TargetMode="External"/><Relationship Id="rId10" Type="http://schemas.openxmlformats.org/officeDocument/2006/relationships/hyperlink" Target="http://publication.pravo.gov.ru/document/0001202512280001" TargetMode="External"/><Relationship Id="rId11" Type="http://schemas.openxmlformats.org/officeDocument/2006/relationships/hyperlink" Target="http://publication.pravo.gov.ru/document/0001202512280025" TargetMode="External"/><Relationship Id="rId12" Type="http://schemas.openxmlformats.org/officeDocument/2006/relationships/hyperlink" Target="http://publication.pravo.gov.ru/Document/View/0001202512280006" TargetMode="External"/><Relationship Id="rId13" Type="http://schemas.openxmlformats.org/officeDocument/2006/relationships/hyperlink" Target="http://publication.pravo.gov.ru/Document/View/0001202408080128" TargetMode="External"/><Relationship Id="rId14" Type="http://schemas.openxmlformats.org/officeDocument/2006/relationships/hyperlink" Target="http://publication.pravo.gov.ru/document/0001202507310049" TargetMode="External"/><Relationship Id="rId15" Type="http://schemas.openxmlformats.org/officeDocument/2006/relationships/hyperlink" Target="http://publication.pravo.gov.ru/document/000120251215004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6</cp:revision>
  <dcterms:created xsi:type="dcterms:W3CDTF">2021-12-23T06:49:00Z</dcterms:created>
  <dcterms:modified xsi:type="dcterms:W3CDTF">2026-01-28T06:33:03Z</dcterms:modified>
</cp:coreProperties>
</file>