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line="136" w:lineRule="atLeast"/>
        <w:rPr>
          <w:rFonts w:ascii="PT Serif" w:hAnsi="PT Serif" w:cs="PT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e0e0e"/>
          <w:sz w:val="28"/>
          <w:szCs w:val="28"/>
        </w:rPr>
      </w: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Жизненная ситуация «Приобретение недвижимости» стала доступной для людей на портале госуслуг</w:t>
      </w:r>
      <w:r>
        <w:rPr>
          <w:rFonts w:ascii="PT Serif" w:hAnsi="PT Serif" w:cs="PT Serif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left="0" w:right="0" w:firstLine="0"/>
        <w:jc w:val="left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Росреестр в рамках федерального проекта «Государство для людей» участвует в реализации около 30 жизненных ситуаций (ЖС). Теперь в Каталоге ЖС на портале «Госуслуги» россияне могут воспользоваться сервисом </w:t>
      </w:r>
      <w:hyperlink r:id="rId11" w:tooltip="https://www.gosuslugi.ru/landing/realestates_acquisition" w:history="1">
        <w:r>
          <w:rPr>
            <w:rStyle w:val="852"/>
            <w:rFonts w:ascii="Times New Roman" w:hAnsi="Times New Roman" w:eastAsia="Times New Roman" w:cs="Times New Roman"/>
            <w:color w:val="0000ee"/>
            <w:sz w:val="28"/>
            <w:szCs w:val="28"/>
            <w:u w:val="single"/>
          </w:rPr>
          <w:t xml:space="preserve">«Приобретение недвижимости»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  <w:br/>
        <w:t xml:space="preserve">   Сервис информирует о ключевых этапах сделки и создан для того, чтобы сделать процесс приобретения и регистрации недвижимости простым и понятным. Также он содержит ссылки на ресурсы, которые могут быть полезны при покупке недвижимости.</w:t>
        <w:br/>
        <w:t xml:space="preserve">   ЖС «Приобретение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недвижимости» помогает людям проверить права на объект, зарегистрированные в ЕГРН, отсутствие ограничений и обременений, информирует, какие документы можно запросить у продавца и что нужно, чтобы составить договор купли – продажи недвижимости. Здесь же дос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тупна пошаговая инструкция по регистрации недвижимости.</w:t>
        <w:br/>
        <w:t xml:space="preserve">   Напомним, проект «Государство для людей» утверждён Правительством РФ и реализуется с 2021 года органами власти на федеральном и региональном уровнях. Он направлен на создание нового уровня взаимодейс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твия государства, граждан и бизнеса, повышение качества жизни и рост доверия людей к государству за счет клиентоцентричного подхода. При реализации некоторых ЖС используются информационные системы Росреестра.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left"/>
        <w:spacing w:before="0" w:after="0"/>
        <w:shd w:val="clear" w:color="f8f8f8" w:fill="f8f8f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2" w:tooltip="https://rosreestr.gov.ru/press/archive/rosreestr-vtorichnyy-rynok-v-rossii-demonstriruet-polozhitelnuyu-dinamiku/" w:history="1">
        <w:r>
          <w:rPr>
            <w:rStyle w:val="852"/>
            <w:rFonts w:ascii="Roboto" w:hAnsi="Roboto" w:eastAsia="Roboto" w:cs="Roboto"/>
            <w:color w:val="292c2f"/>
            <w:sz w:val="24"/>
            <w:u w:val="none"/>
          </w:rPr>
        </w:r>
      </w:hyperlink>
      <w:r>
        <w:rPr>
          <w:rFonts w:ascii="Roboto" w:hAnsi="Roboto" w:eastAsia="Roboto" w:cs="Roboto"/>
          <w:sz w:val="24"/>
        </w:rPr>
      </w:r>
      <w:r/>
    </w:p>
    <w:p>
      <w:pPr>
        <w:ind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p>
      <w:pPr>
        <w:ind w:firstLine="68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  <w:r>
        <w:rPr>
          <w:color w:val="000000"/>
          <w:spacing w:val="-8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PT Serif">
    <w:panose1 w:val="020A0603040505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/>
    <w:r/>
  </w:p>
  <w:p>
    <w:pPr>
      <w:pStyle w:val="8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0658074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0"/>
    <w:next w:val="87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1"/>
    <w:link w:val="714"/>
    <w:uiPriority w:val="10"/>
    <w:rPr>
      <w:sz w:val="48"/>
      <w:szCs w:val="48"/>
    </w:rPr>
  </w:style>
  <w:style w:type="paragraph" w:styleId="716">
    <w:name w:val="Subtitle"/>
    <w:basedOn w:val="870"/>
    <w:next w:val="87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1"/>
    <w:link w:val="716"/>
    <w:uiPriority w:val="11"/>
    <w:rPr>
      <w:sz w:val="24"/>
      <w:szCs w:val="24"/>
    </w:rPr>
  </w:style>
  <w:style w:type="paragraph" w:styleId="718">
    <w:name w:val="Quote"/>
    <w:basedOn w:val="870"/>
    <w:next w:val="870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0"/>
    <w:next w:val="870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1"/>
    <w:link w:val="874"/>
    <w:uiPriority w:val="99"/>
  </w:style>
  <w:style w:type="character" w:styleId="723">
    <w:name w:val="Footer Char"/>
    <w:basedOn w:val="871"/>
    <w:link w:val="876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76"/>
    <w:uiPriority w:val="99"/>
  </w:style>
  <w:style w:type="table" w:styleId="726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Header"/>
    <w:basedOn w:val="870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71"/>
    <w:link w:val="87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6">
    <w:name w:val="Footer"/>
    <w:basedOn w:val="870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71"/>
    <w:link w:val="87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70"/>
    <w:link w:val="879"/>
    <w:uiPriority w:val="99"/>
    <w:semiHidden/>
    <w:unhideWhenUsed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871"/>
    <w:link w:val="878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www.gosuslugi.ru/landing/realestates_acquisition" TargetMode="External"/><Relationship Id="rId12" Type="http://schemas.openxmlformats.org/officeDocument/2006/relationships/hyperlink" Target="https://rosreestr.gov.ru/press/archive/rosreestr-vtorichnyy-rynok-v-rossii-demonstriruet-polozhitelnuyu-dinamik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v.mamontov</cp:lastModifiedBy>
  <cp:revision>11</cp:revision>
  <dcterms:created xsi:type="dcterms:W3CDTF">2023-08-31T14:11:00Z</dcterms:created>
  <dcterms:modified xsi:type="dcterms:W3CDTF">2025-12-30T11:30:28Z</dcterms:modified>
</cp:coreProperties>
</file>