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Способы защиты прав при сделках с недвижимостью</w:t>
      </w:r>
      <w:bookmarkStart w:id="0" w:name="_GoBack"/>
      <w:r/>
      <w:bookmarkEnd w:id="0"/>
      <w:r/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 59 218-ФЗ «О государственной регистрации недвижимости», при поступлении нотариально-заверенных документов государственный регистратор принимает решение б</w:t>
      </w:r>
      <w:r>
        <w:rPr>
          <w:rFonts w:ascii="Times New Roman" w:hAnsi="Times New Roman" w:cs="Times New Roman"/>
          <w:sz w:val="28"/>
          <w:szCs w:val="28"/>
        </w:rPr>
        <w:t xml:space="preserve">ез проведения правовой экспертизы, поскольку ее проводит нотариус на этапе удостоверения сделки. Именно нотариус подтверждает, что стороны совершают действия осознанно, а их воля соответствует условиям договора, который они подписывают. В иных случаях при </w:t>
      </w:r>
      <w:r>
        <w:rPr>
          <w:rFonts w:ascii="Times New Roman" w:hAnsi="Times New Roman" w:cs="Times New Roman"/>
          <w:sz w:val="28"/>
          <w:szCs w:val="28"/>
        </w:rPr>
        <w:t xml:space="preserve">возникновении сомнений в подлинности предоставленных документов государственный регистратор может направлять запросы в соответствующие органы власти о предоставлении дополнительной информации: факта выдачи и достоверности содержащихся в них сведений и т.д.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Защитить свою недвижимость от мошеннических действий можно, подав в </w:t>
      </w:r>
      <w:r>
        <w:rPr>
          <w:rFonts w:ascii="Times New Roman" w:hAnsi="Times New Roman" w:cs="Times New Roman"/>
          <w:sz w:val="28"/>
          <w:szCs w:val="28"/>
        </w:rPr>
        <w:t xml:space="preserve">Росреестр</w:t>
      </w:r>
      <w:r>
        <w:rPr>
          <w:rFonts w:ascii="Times New Roman" w:hAnsi="Times New Roman" w:cs="Times New Roman"/>
          <w:sz w:val="28"/>
          <w:szCs w:val="28"/>
        </w:rPr>
        <w:t xml:space="preserve"> заявление о невозможности регистрации перехода, прекращения, ограничения права и обременения объекта недвижимости без личного участия правообладателя. Такое заявление подается через о</w:t>
      </w:r>
      <w:r>
        <w:rPr>
          <w:rFonts w:ascii="Times New Roman" w:hAnsi="Times New Roman" w:cs="Times New Roman"/>
          <w:sz w:val="28"/>
          <w:szCs w:val="28"/>
        </w:rPr>
        <w:t xml:space="preserve">фисы МФЦ. Соответствующая запись вносится в Единый государственный реестр недвижимости (ЕГРН) и становится основанием для возврата без рассмотрения документов, поданных не только третьими лицами по нотариально удостоверенной доверенности, но и нотариусами.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усиленной квалифицированной электронной подписи (УКЭП) при регистрации прав в электронном виде приравнивается к личному участию. Для предотвращения случаев мошенничества с ее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использованием  вступили</w:t>
      </w:r>
      <w:r>
        <w:rPr>
          <w:rFonts w:ascii="Times New Roman" w:hAnsi="Times New Roman" w:cs="Times New Roman"/>
          <w:sz w:val="28"/>
          <w:szCs w:val="28"/>
        </w:rPr>
        <w:t xml:space="preserve"> в силу законодательные изменения (Федеральный закон от 2 августа 2019 года № 286-ФЗ «О внесении изменений в Федеральный закон «О государственной регистрации недвижимости»), направленные на защиту прав граждан при оформлении сделок онлайн.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нововведениями правообладатели недвижимости могут внести в ЕГРН запись о возможности осуществления государственной регистра</w:t>
      </w:r>
      <w:r>
        <w:rPr>
          <w:rFonts w:ascii="Times New Roman" w:hAnsi="Times New Roman" w:cs="Times New Roman"/>
          <w:sz w:val="28"/>
          <w:szCs w:val="28"/>
        </w:rPr>
        <w:t xml:space="preserve">ции на основании заявления и прилагаемых к нему документов, подписанных УКЭП. При этом собственник может подать заявление как одновременно в отношении всех принадлежащих ему объектов недвижимости, так и любого из них (на каждый объект отдельное заявление).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рамках указанных законодательных изменений вступило в силу правило, согласно которому ведомство будет уведомлять владельцев недвижимости о поступивших в электронном виде докум</w:t>
      </w:r>
      <w:r>
        <w:rPr>
          <w:rFonts w:ascii="Times New Roman" w:hAnsi="Times New Roman" w:cs="Times New Roman"/>
          <w:sz w:val="28"/>
          <w:szCs w:val="28"/>
        </w:rPr>
        <w:t xml:space="preserve">ентах, в том числе по адресу электронной почты. В этой связи важно использовать возможность внесения в ЕГРН сведений об адресе электронной почты правообладателя, или актуализировать имеющиеся данные. Сделать это можно, подав соответствующее заявление в МФЦ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Balloon Text"/>
    <w:basedOn w:val="617"/>
    <w:link w:val="62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22" w:customStyle="1">
    <w:name w:val="Текст выноски Знак"/>
    <w:basedOn w:val="618"/>
    <w:link w:val="621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v.mamontov</cp:lastModifiedBy>
  <cp:revision>10</cp:revision>
  <dcterms:created xsi:type="dcterms:W3CDTF">2022-04-25T12:27:00Z</dcterms:created>
  <dcterms:modified xsi:type="dcterms:W3CDTF">2025-01-28T09:25:05Z</dcterms:modified>
</cp:coreProperties>
</file>