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Особенности обращения с недвижимостью в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bookmarkStart w:id="0" w:name="_GoBack"/>
      <w:r/>
      <w:bookmarkEnd w:id="0"/>
      <w:r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заключения брака для супругов меняется порядок распоряжения имуществом. При совершении сделок с недвижимостью необходимо учитывать требования Семейного кодекса Российской Федерации и иных нормативных правовых актов.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Недвижимость супругов – общая совместная собственность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официальной регистрации брака покупка или продажа приобретенной за счет совместных средств супругов недвижимости осуществляется ими в рамках режима общей совместной собственности.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если, напр</w:t>
      </w:r>
      <w:r>
        <w:rPr>
          <w:rFonts w:ascii="Times New Roman" w:hAnsi="Times New Roman" w:cs="Times New Roman"/>
          <w:sz w:val="24"/>
          <w:szCs w:val="24"/>
        </w:rPr>
        <w:t xml:space="preserve">имер, в период брака квартира получена одним из супругов по наследству или была ему подарена, то она не войдет в состав общей совместной собственности супругов. Не являются совместной собственностью супругов и объекты, приобретенные каждым из них до брака.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нежелании распоряжаться недвижимостью сообща можно оформить брачный договор или соглашение о разделе общего имущества супругов.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продаже приобретенных в браке, покупке жил</w:t>
      </w:r>
      <w:r>
        <w:rPr>
          <w:rFonts w:ascii="Times New Roman" w:hAnsi="Times New Roman" w:cs="Times New Roman"/>
          <w:sz w:val="24"/>
          <w:szCs w:val="24"/>
        </w:rPr>
        <w:t xml:space="preserve">ых или нежилых объектов недвижимости, а также при оформлении других сделок с недвижимостью, включая дарение (если дарителем приобретенной в браке недвижимости выступает один из супругов) или мену, необходимо оформить нотариально удостоверенное согласие суп</w:t>
      </w:r>
      <w:r>
        <w:rPr>
          <w:rFonts w:ascii="Times New Roman" w:hAnsi="Times New Roman" w:cs="Times New Roman"/>
          <w:sz w:val="24"/>
          <w:szCs w:val="24"/>
        </w:rPr>
        <w:t xml:space="preserve">руга на совершение такой сделки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такого согласия </w:t>
      </w:r>
      <w:r>
        <w:rPr>
          <w:rFonts w:ascii="Times New Roman" w:hAnsi="Times New Roman" w:cs="Times New Roman"/>
          <w:sz w:val="24"/>
          <w:szCs w:val="24"/>
        </w:rPr>
        <w:t xml:space="preserve">Росреестр</w:t>
      </w:r>
      <w:r>
        <w:rPr>
          <w:rFonts w:ascii="Times New Roman" w:hAnsi="Times New Roman" w:cs="Times New Roman"/>
          <w:sz w:val="24"/>
          <w:szCs w:val="24"/>
        </w:rPr>
        <w:t xml:space="preserve"> зарегистрирует переход права, но внесёт отметку о том, что необходимое в силу закона согласие супруга не было представлено, а в будущем данная сделка может быть оспорена вторым супругом в суде.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Семейная пара может дарить друг другу только то имущество, на которое не распространяется режим общей собственности супругов, то есть то имущество, которое было прио</w:t>
      </w:r>
      <w:r>
        <w:rPr>
          <w:rFonts w:ascii="Times New Roman" w:hAnsi="Times New Roman" w:cs="Times New Roman"/>
          <w:sz w:val="24"/>
          <w:szCs w:val="24"/>
        </w:rPr>
        <w:t xml:space="preserve">бретено ими до брака или получено в браке по наследству, а также приобретенное в браке имущество, если в отношении него супругами был изменен режим совместной собственности (например, заключен брачный договор). В этом случае оформляется договор дарения, в </w:t>
      </w:r>
      <w:r>
        <w:rPr>
          <w:rFonts w:ascii="Times New Roman" w:hAnsi="Times New Roman" w:cs="Times New Roman"/>
          <w:sz w:val="24"/>
          <w:szCs w:val="24"/>
        </w:rPr>
        <w:t xml:space="preserve">Росреестре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регистрация перехода права собственности.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Унаследованная и полученная в дар недвижимость – единоличная собственность гражданина, которую он может продать, обменять или подарить без согласия супруга.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Интересы малолетних детей (до 14 лет) при совершении сделок с недвижимостью представляют их законные представители: родители либо усыновители.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Подростки от 14 до 18 лет совершают сделки с их письменного согласия, а документы на государственную регистрацию прав могут подавать самостоятельно.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Материнский капитал может быть использован для улучшения жилищных условий. Использовать сертификат в качестве первоначального взноса по ипотеке или для погашения основного долга можно сразу после рождения (усыновления) ребенка.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использования средств сертификата на строительство (реконструкцию) или приобретение жилого помещения без привлечения кредитных средств необходимо дождаться, когда ребёнку, при рождении которого возникло право на материнский капитал, исполнится 3 года.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v.mamontov</cp:lastModifiedBy>
  <cp:revision>6</cp:revision>
  <dcterms:created xsi:type="dcterms:W3CDTF">2022-08-29T13:52:00Z</dcterms:created>
  <dcterms:modified xsi:type="dcterms:W3CDTF">2025-08-28T11:18:55Z</dcterms:modified>
</cp:coreProperties>
</file>