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77" w:rsidRDefault="00BA56A2" w:rsidP="00311D2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ascii="PT Serif" w:eastAsia="PT Serif" w:hAnsi="PT Serif" w:cs="PT Serif"/>
          <w:b/>
          <w:bCs/>
          <w:color w:val="000000"/>
          <w:sz w:val="28"/>
          <w:szCs w:val="28"/>
          <w:highlight w:val="white"/>
        </w:rPr>
        <w:t>О каких изменениях законодательства нужно знать гражданам с 1 января 2025 года</w:t>
      </w:r>
    </w:p>
    <w:bookmarkEnd w:id="0"/>
    <w:p w:rsidR="002D7E77" w:rsidRDefault="002D7E77" w:rsidP="00311D20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:rsidR="002D7E77" w:rsidRDefault="00BA56A2" w:rsidP="00311D20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Fonts w:ascii="PT Serif" w:eastAsia="PT Serif" w:hAnsi="PT Serif" w:cs="PT Serif"/>
          <w:b/>
          <w:color w:val="000000"/>
          <w:sz w:val="26"/>
        </w:rPr>
        <w:t xml:space="preserve">1) </w:t>
      </w:r>
      <w:r>
        <w:rPr>
          <w:rFonts w:ascii="PT Serif" w:eastAsia="PT Serif" w:hAnsi="PT Serif" w:cs="PT Serif"/>
          <w:color w:val="000000"/>
          <w:sz w:val="26"/>
        </w:rPr>
        <w:t xml:space="preserve"> </w:t>
      </w:r>
      <w:r>
        <w:rPr>
          <w:rFonts w:ascii="PT Serif" w:eastAsia="PT Serif" w:hAnsi="PT Serif" w:cs="PT Serif"/>
          <w:color w:val="000000"/>
          <w:sz w:val="28"/>
          <w:szCs w:val="28"/>
        </w:rPr>
        <w:t>Согласно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 Федерального закона от 12.07.2024 N 176-ФЗ (ред. от 12.12.2024) "О внесении изменений в части первую и вторую Налогового кодекса Российской Федерации, отдельные 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>
        <w:rPr>
          <w:rFonts w:ascii="PT Serif" w:eastAsia="PT Serif" w:hAnsi="PT Serif" w:cs="PT Serif"/>
          <w:color w:val="000000"/>
          <w:sz w:val="28"/>
          <w:szCs w:val="28"/>
        </w:rPr>
        <w:t>увеличится государственная пошлина для физических лиц за регистрацию сделок с недвижимостью. С 2025 года ее размер зависи</w:t>
      </w:r>
      <w:r>
        <w:rPr>
          <w:rFonts w:ascii="PT Serif" w:eastAsia="PT Serif" w:hAnsi="PT Serif" w:cs="PT Serif"/>
          <w:color w:val="000000"/>
          <w:sz w:val="28"/>
          <w:szCs w:val="28"/>
        </w:rPr>
        <w:t>т от кадастровой стоимости объекта. Так, если последняя не выше 20 млн руб., госпошлина составит </w:t>
      </w:r>
      <w:hyperlink r:id="rId7" w:tooltip="consultantplus://offline/main?base=LAW;n=493154;dst=100676" w:history="1">
        <w:r>
          <w:rPr>
            <w:rStyle w:val="ad"/>
            <w:rFonts w:ascii="PT Serif" w:eastAsia="PT Serif" w:hAnsi="PT Serif" w:cs="PT Serif"/>
            <w:color w:val="413A61"/>
            <w:sz w:val="28"/>
            <w:szCs w:val="28"/>
          </w:rPr>
          <w:t>4 тыс. руб.</w:t>
        </w:r>
      </w:hyperlink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b/>
          <w:bCs/>
          <w:sz w:val="28"/>
          <w:szCs w:val="28"/>
        </w:rPr>
        <w:t>2)</w:t>
      </w:r>
      <w:r>
        <w:rPr>
          <w:rFonts w:ascii="PT Serif" w:eastAsia="PT Serif" w:hAnsi="PT Serif" w:cs="PT Serif"/>
          <w:sz w:val="28"/>
          <w:szCs w:val="28"/>
        </w:rPr>
        <w:t xml:space="preserve"> Согла</w:t>
      </w:r>
      <w:r>
        <w:rPr>
          <w:rFonts w:ascii="PT Serif" w:eastAsia="PT Serif" w:hAnsi="PT Serif" w:cs="PT Serif"/>
          <w:sz w:val="28"/>
          <w:szCs w:val="28"/>
        </w:rPr>
        <w:t xml:space="preserve">сно </w:t>
      </w:r>
      <w:r>
        <w:rPr>
          <w:rFonts w:ascii="PT Serif" w:eastAsia="PT Serif" w:hAnsi="PT Serif" w:cs="PT Serif"/>
          <w:sz w:val="28"/>
          <w:szCs w:val="28"/>
        </w:rPr>
        <w:t>Стандарта защиты прав и законных интересов ипотечных заемщиков начнет действовать Стандарт защиты ипотечных заемщиков.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sz w:val="28"/>
          <w:szCs w:val="28"/>
        </w:rPr>
        <w:t>Перед заключением соглашения о пониженной процентной ставке банк должен будет предоставить заемщику расчеты, которые позволят понять разницу в полной стоимости кредита с этой опцией и без нее. Практику таких соглашений к июлю 2025 года вовсе прекратят.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PT Serif" w:eastAsia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sz w:val="28"/>
          <w:szCs w:val="28"/>
        </w:rPr>
        <w:t>В п</w:t>
      </w:r>
      <w:r>
        <w:rPr>
          <w:rFonts w:ascii="PT Serif" w:eastAsia="PT Serif" w:hAnsi="PT Serif" w:cs="PT Serif"/>
          <w:sz w:val="28"/>
          <w:szCs w:val="28"/>
        </w:rPr>
        <w:t xml:space="preserve">ервоначальный взнос запретят включать кредитные средства и "ипотечный </w:t>
      </w:r>
      <w:proofErr w:type="spellStart"/>
      <w:r>
        <w:rPr>
          <w:rFonts w:ascii="PT Serif" w:eastAsia="PT Serif" w:hAnsi="PT Serif" w:cs="PT Serif"/>
          <w:sz w:val="28"/>
          <w:szCs w:val="28"/>
        </w:rPr>
        <w:t>кешбэк</w:t>
      </w:r>
      <w:proofErr w:type="spellEnd"/>
      <w:r>
        <w:rPr>
          <w:rFonts w:ascii="PT Serif" w:eastAsia="PT Serif" w:hAnsi="PT Serif" w:cs="PT Serif"/>
          <w:sz w:val="28"/>
          <w:szCs w:val="28"/>
        </w:rPr>
        <w:t>".</w:t>
      </w:r>
    </w:p>
    <w:p w:rsidR="002D7E77" w:rsidRDefault="00BA56A2" w:rsidP="00311D2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3)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 xml:space="preserve">Согласно Приказа </w:t>
      </w:r>
      <w:proofErr w:type="spellStart"/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>Росреестра</w:t>
      </w:r>
      <w:proofErr w:type="spellEnd"/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 xml:space="preserve"> от 28.10.2024 N П/0335/24 "Об установлении размеров платы за предоставление сведений, содержащихся в Едином государственном реестре недвижимости, </w:t>
      </w:r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>и иной информации"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 чтобы получить бумажную выписку из реестра, гражданину придется заплатить </w:t>
      </w:r>
      <w:hyperlink r:id="rId8" w:tooltip="consultantplus://offline/main?base=LAW;n=491153;dst=100058" w:history="1">
        <w:r>
          <w:rPr>
            <w:rStyle w:val="ad"/>
            <w:rFonts w:ascii="PT Serif" w:eastAsia="PT Serif" w:hAnsi="PT Serif" w:cs="PT Serif"/>
            <w:color w:val="413A61"/>
            <w:sz w:val="28"/>
            <w:szCs w:val="28"/>
          </w:rPr>
          <w:t>1740 руб.</w:t>
        </w:r>
      </w:hyperlink>
      <w:r>
        <w:rPr>
          <w:rFonts w:ascii="PT Serif" w:eastAsia="PT Serif" w:hAnsi="PT Serif" w:cs="PT Serif"/>
          <w:color w:val="000000"/>
          <w:sz w:val="28"/>
          <w:szCs w:val="28"/>
        </w:rPr>
        <w:t> 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rPr>
          <w:sz w:val="28"/>
          <w:szCs w:val="28"/>
        </w:rPr>
      </w:pPr>
      <w:r>
        <w:rPr>
          <w:rFonts w:ascii="PT Serif" w:eastAsia="PT Serif" w:hAnsi="PT Serif" w:cs="PT Serif"/>
          <w:color w:val="000000"/>
          <w:sz w:val="28"/>
          <w:szCs w:val="28"/>
        </w:rPr>
        <w:t>Некоторые кат</w:t>
      </w:r>
      <w:r>
        <w:rPr>
          <w:rFonts w:ascii="PT Serif" w:eastAsia="PT Serif" w:hAnsi="PT Serif" w:cs="PT Serif"/>
          <w:color w:val="000000"/>
          <w:sz w:val="28"/>
          <w:szCs w:val="28"/>
        </w:rPr>
        <w:t>егории граждан получат </w:t>
      </w:r>
      <w:hyperlink r:id="rId9" w:tooltip="consultantplus://offline/main?base=LAW;n=491153;dst=100010" w:history="1">
        <w:r>
          <w:rPr>
            <w:rStyle w:val="ad"/>
            <w:rFonts w:ascii="PT Serif" w:eastAsia="PT Serif" w:hAnsi="PT Serif" w:cs="PT Serif"/>
            <w:color w:val="413A61"/>
            <w:sz w:val="28"/>
            <w:szCs w:val="28"/>
          </w:rPr>
          <w:t>скидку 50%</w:t>
        </w:r>
      </w:hyperlink>
      <w:r>
        <w:rPr>
          <w:rFonts w:ascii="PT Serif" w:eastAsia="PT Serif" w:hAnsi="PT Serif" w:cs="PT Serif"/>
          <w:color w:val="000000"/>
          <w:sz w:val="28"/>
          <w:szCs w:val="28"/>
        </w:rPr>
        <w:t> на оплату пошлин. Среди них инвалиды I и II групп, многодетные родители. Льгота буд</w:t>
      </w:r>
      <w:r>
        <w:rPr>
          <w:rFonts w:ascii="PT Serif" w:eastAsia="PT Serif" w:hAnsi="PT Serif" w:cs="PT Serif"/>
          <w:color w:val="000000"/>
          <w:sz w:val="28"/>
          <w:szCs w:val="28"/>
        </w:rPr>
        <w:t>ет действовать, если запрос касается недвижимости, которая принадлежит или принадлежала этим лицам.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Serif" w:hAnsi="PT Serif" w:cs="PT Serif"/>
          <w:color w:val="000000" w:themeColor="text1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4) </w:t>
      </w:r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 xml:space="preserve">Согласно </w:t>
      </w:r>
      <w:hyperlink r:id="rId10" w:tooltip="consultantplus://offline/main?base=LAW;n=493063;dst=0" w:history="1"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Федерального закона от 13.12.2024 N 459-ФЗ</w:t>
        </w:r>
      </w:hyperlink>
      <w:r>
        <w:rPr>
          <w:rFonts w:ascii="PT Serif" w:eastAsia="PT Serif" w:hAnsi="PT Serif" w:cs="PT Serif"/>
          <w:color w:val="000000" w:themeColor="text1"/>
          <w:sz w:val="28"/>
          <w:szCs w:val="28"/>
        </w:rPr>
        <w:t xml:space="preserve"> «О внесении изменений в статью 574 части второй Гражданского Кодекса РФ»</w:t>
      </w:r>
      <w:r>
        <w:rPr>
          <w:rFonts w:ascii="PT Serif" w:eastAsia="PT Serif" w:hAnsi="PT Serif" w:cs="PT Serif"/>
          <w:color w:val="000000"/>
          <w:sz w:val="28"/>
          <w:szCs w:val="28"/>
        </w:rPr>
        <w:t xml:space="preserve"> л</w:t>
      </w:r>
      <w:r>
        <w:rPr>
          <w:rFonts w:ascii="PT Serif" w:eastAsia="PT Serif" w:hAnsi="PT Serif" w:cs="PT Serif"/>
          <w:color w:val="000000"/>
          <w:sz w:val="28"/>
          <w:szCs w:val="28"/>
          <w:highlight w:val="white"/>
        </w:rPr>
        <w:t>юбые договоры дарения недвижимости между физическими лицами нужно будет заверять у нотариуса с 13 января</w:t>
      </w:r>
      <w:r>
        <w:rPr>
          <w:rFonts w:ascii="PT Serif" w:eastAsia="PT Serif" w:hAnsi="PT Serif" w:cs="PT Serif"/>
          <w:color w:val="000000"/>
          <w:spacing w:val="-8"/>
          <w:sz w:val="28"/>
          <w:szCs w:val="28"/>
        </w:rPr>
        <w:t xml:space="preserve"> 2025 года</w:t>
      </w:r>
      <w:r>
        <w:rPr>
          <w:rFonts w:ascii="PT Serif" w:eastAsia="PT Serif" w:hAnsi="PT Serif" w:cs="PT Serif"/>
          <w:color w:val="000000" w:themeColor="text1"/>
          <w:sz w:val="28"/>
          <w:szCs w:val="28"/>
        </w:rPr>
        <w:t>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color w:val="0E0E0E"/>
          <w:sz w:val="28"/>
          <w:szCs w:val="28"/>
        </w:rPr>
        <w:t xml:space="preserve">Чтобы один гражданин мог подарить другому квартиру, дом или прочую недвижимость, договор </w:t>
      </w:r>
      <w:hyperlink r:id="rId11" w:tooltip="consultantplus://offline/main?base=LAW;n=493063;dst=100009" w:history="1"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потребуется удостоверить нот</w:t>
        </w:r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ариально</w:t>
        </w:r>
      </w:hyperlink>
      <w:r>
        <w:rPr>
          <w:rFonts w:ascii="PT Serif" w:eastAsia="PT Serif" w:hAnsi="PT Serif" w:cs="PT Serif"/>
          <w:color w:val="0E0E0E"/>
          <w:sz w:val="28"/>
          <w:szCs w:val="28"/>
        </w:rPr>
        <w:t>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color w:val="0E0E0E"/>
          <w:sz w:val="28"/>
          <w:szCs w:val="28"/>
        </w:rPr>
        <w:t>Ранее такой обязанности не было, кроме ряда исключений. Среди них </w:t>
      </w:r>
      <w:hyperlink r:id="rId12" w:tooltip="consultantplus://offline/main?base=LAW;n=491421;dst=100955" w:history="1"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сделки</w:t>
        </w:r>
      </w:hyperlink>
      <w:r>
        <w:rPr>
          <w:rFonts w:ascii="PT Serif" w:eastAsia="PT Serif" w:hAnsi="PT Serif" w:cs="PT Serif"/>
          <w:color w:val="0E0E0E"/>
          <w:sz w:val="28"/>
          <w:szCs w:val="28"/>
        </w:rPr>
        <w:t> по отчуждению недвижимости несовер</w:t>
      </w:r>
      <w:r>
        <w:rPr>
          <w:rFonts w:ascii="PT Serif" w:eastAsia="PT Serif" w:hAnsi="PT Serif" w:cs="PT Serif"/>
          <w:color w:val="0E0E0E"/>
          <w:sz w:val="28"/>
          <w:szCs w:val="28"/>
        </w:rPr>
        <w:t>шеннолетнего или ограниченно дееспособного.</w:t>
      </w:r>
    </w:p>
    <w:p w:rsidR="002D7E77" w:rsidRDefault="00BA56A2" w:rsidP="00311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eastAsia="PT Serif" w:hAnsi="PT Serif" w:cs="PT Serif"/>
          <w:color w:val="0E0E0E"/>
          <w:sz w:val="28"/>
          <w:szCs w:val="28"/>
        </w:rPr>
        <w:t>Напомним, нотариус, который заверил договор, по общему правилу сам </w:t>
      </w:r>
      <w:hyperlink r:id="rId13" w:tooltip="consultantplus://offline/main?base=LAW;n=483143;dst=826" w:history="1"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подает</w:t>
        </w:r>
      </w:hyperlink>
      <w:r>
        <w:rPr>
          <w:rFonts w:ascii="PT Serif" w:eastAsia="PT Serif" w:hAnsi="PT Serif" w:cs="PT Serif"/>
          <w:color w:val="0E0E0E"/>
          <w:sz w:val="28"/>
          <w:szCs w:val="28"/>
        </w:rPr>
        <w:t xml:space="preserve"> в </w:t>
      </w:r>
      <w:proofErr w:type="spellStart"/>
      <w:r>
        <w:rPr>
          <w:rFonts w:ascii="PT Serif" w:eastAsia="PT Serif" w:hAnsi="PT Serif" w:cs="PT Serif"/>
          <w:color w:val="0E0E0E"/>
          <w:sz w:val="28"/>
          <w:szCs w:val="28"/>
        </w:rPr>
        <w:t>Рос</w:t>
      </w:r>
      <w:r>
        <w:rPr>
          <w:rFonts w:ascii="PT Serif" w:eastAsia="PT Serif" w:hAnsi="PT Serif" w:cs="PT Serif"/>
          <w:color w:val="0E0E0E"/>
          <w:sz w:val="28"/>
          <w:szCs w:val="28"/>
        </w:rPr>
        <w:t>реестр</w:t>
      </w:r>
      <w:proofErr w:type="spellEnd"/>
      <w:r>
        <w:rPr>
          <w:rFonts w:ascii="PT Serif" w:eastAsia="PT Serif" w:hAnsi="PT Serif" w:cs="PT Serif"/>
          <w:color w:val="0E0E0E"/>
          <w:sz w:val="28"/>
          <w:szCs w:val="28"/>
        </w:rPr>
        <w:t xml:space="preserve"> заявление о регистрации прав. Однако стороны могут возразить против этого и </w:t>
      </w:r>
      <w:hyperlink r:id="rId14" w:tooltip="consultantplus://offline/main?base=LAW;n=491421;dst=100992" w:history="1">
        <w:r>
          <w:rPr>
            <w:rStyle w:val="ad"/>
            <w:rFonts w:ascii="PT Serif" w:eastAsia="PT Serif" w:hAnsi="PT Serif" w:cs="PT Serif"/>
            <w:color w:val="000000" w:themeColor="text1"/>
            <w:sz w:val="28"/>
            <w:szCs w:val="28"/>
            <w:u w:val="none"/>
          </w:rPr>
          <w:t>обратиться</w:t>
        </w:r>
      </w:hyperlink>
      <w:r>
        <w:rPr>
          <w:rFonts w:ascii="PT Serif" w:eastAsia="PT Serif" w:hAnsi="PT Serif" w:cs="PT Serif"/>
          <w:color w:val="0E0E0E"/>
          <w:sz w:val="28"/>
          <w:szCs w:val="28"/>
        </w:rPr>
        <w:t> за государственной услу</w:t>
      </w:r>
      <w:r>
        <w:rPr>
          <w:rFonts w:ascii="PT Serif" w:eastAsia="PT Serif" w:hAnsi="PT Serif" w:cs="PT Serif"/>
          <w:color w:val="0E0E0E"/>
          <w:sz w:val="28"/>
          <w:szCs w:val="28"/>
        </w:rPr>
        <w:t>гой напрямую.</w:t>
      </w:r>
    </w:p>
    <w:sectPr w:rsidR="002D7E77" w:rsidSect="00311D20">
      <w:headerReference w:type="default" r:id="rId15"/>
      <w:footerReference w:type="default" r:id="rId16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A2" w:rsidRDefault="00BA56A2">
      <w:r>
        <w:separator/>
      </w:r>
    </w:p>
  </w:endnote>
  <w:endnote w:type="continuationSeparator" w:id="0">
    <w:p w:rsidR="00BA56A2" w:rsidRDefault="00BA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E77" w:rsidRDefault="002D7E77">
    <w:pPr>
      <w:pStyle w:val="af8"/>
      <w:jc w:val="center"/>
    </w:pPr>
  </w:p>
  <w:p w:rsidR="002D7E77" w:rsidRDefault="002D7E7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A2" w:rsidRDefault="00BA56A2">
      <w:r>
        <w:separator/>
      </w:r>
    </w:p>
  </w:footnote>
  <w:footnote w:type="continuationSeparator" w:id="0">
    <w:p w:rsidR="00BA56A2" w:rsidRDefault="00BA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658074"/>
      <w:docPartObj>
        <w:docPartGallery w:val="Page Numbers (Top of Page)"/>
        <w:docPartUnique/>
      </w:docPartObj>
    </w:sdtPr>
    <w:sdtEndPr/>
    <w:sdtContent>
      <w:p w:rsidR="002D7E77" w:rsidRDefault="00BA56A2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11D20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A9C"/>
    <w:multiLevelType w:val="hybridMultilevel"/>
    <w:tmpl w:val="8098BEE8"/>
    <w:lvl w:ilvl="0" w:tplc="6038A892">
      <w:start w:val="1"/>
      <w:numFmt w:val="decimal"/>
      <w:lvlText w:val="%1."/>
      <w:lvlJc w:val="left"/>
      <w:pPr>
        <w:ind w:left="709" w:hanging="360"/>
      </w:pPr>
    </w:lvl>
    <w:lvl w:ilvl="1" w:tplc="5BCC0502">
      <w:start w:val="1"/>
      <w:numFmt w:val="lowerLetter"/>
      <w:lvlText w:val="%2."/>
      <w:lvlJc w:val="left"/>
      <w:pPr>
        <w:ind w:left="1429" w:hanging="360"/>
      </w:pPr>
    </w:lvl>
    <w:lvl w:ilvl="2" w:tplc="89E80B16">
      <w:start w:val="1"/>
      <w:numFmt w:val="lowerRoman"/>
      <w:lvlText w:val="%3."/>
      <w:lvlJc w:val="right"/>
      <w:pPr>
        <w:ind w:left="2149" w:hanging="180"/>
      </w:pPr>
    </w:lvl>
    <w:lvl w:ilvl="3" w:tplc="867CB76C">
      <w:start w:val="1"/>
      <w:numFmt w:val="decimal"/>
      <w:lvlText w:val="%4."/>
      <w:lvlJc w:val="left"/>
      <w:pPr>
        <w:ind w:left="2869" w:hanging="360"/>
      </w:pPr>
    </w:lvl>
    <w:lvl w:ilvl="4" w:tplc="3892A650">
      <w:start w:val="1"/>
      <w:numFmt w:val="lowerLetter"/>
      <w:lvlText w:val="%5."/>
      <w:lvlJc w:val="left"/>
      <w:pPr>
        <w:ind w:left="3589" w:hanging="360"/>
      </w:pPr>
    </w:lvl>
    <w:lvl w:ilvl="5" w:tplc="FC54D460">
      <w:start w:val="1"/>
      <w:numFmt w:val="lowerRoman"/>
      <w:lvlText w:val="%6."/>
      <w:lvlJc w:val="right"/>
      <w:pPr>
        <w:ind w:left="4309" w:hanging="180"/>
      </w:pPr>
    </w:lvl>
    <w:lvl w:ilvl="6" w:tplc="E112F936">
      <w:start w:val="1"/>
      <w:numFmt w:val="decimal"/>
      <w:lvlText w:val="%7."/>
      <w:lvlJc w:val="left"/>
      <w:pPr>
        <w:ind w:left="5029" w:hanging="360"/>
      </w:pPr>
    </w:lvl>
    <w:lvl w:ilvl="7" w:tplc="58E6E9C8">
      <w:start w:val="1"/>
      <w:numFmt w:val="lowerLetter"/>
      <w:lvlText w:val="%8."/>
      <w:lvlJc w:val="left"/>
      <w:pPr>
        <w:ind w:left="5749" w:hanging="360"/>
      </w:pPr>
    </w:lvl>
    <w:lvl w:ilvl="8" w:tplc="5BBE013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52F3851"/>
    <w:multiLevelType w:val="hybridMultilevel"/>
    <w:tmpl w:val="5608EC8C"/>
    <w:lvl w:ilvl="0" w:tplc="579A2886">
      <w:start w:val="1"/>
      <w:numFmt w:val="decimal"/>
      <w:lvlText w:val="%1."/>
      <w:lvlJc w:val="left"/>
      <w:pPr>
        <w:ind w:left="709" w:hanging="360"/>
      </w:pPr>
    </w:lvl>
    <w:lvl w:ilvl="1" w:tplc="036810B8">
      <w:start w:val="1"/>
      <w:numFmt w:val="lowerLetter"/>
      <w:lvlText w:val="%2."/>
      <w:lvlJc w:val="left"/>
      <w:pPr>
        <w:ind w:left="1429" w:hanging="360"/>
      </w:pPr>
    </w:lvl>
    <w:lvl w:ilvl="2" w:tplc="A1862816">
      <w:start w:val="1"/>
      <w:numFmt w:val="lowerRoman"/>
      <w:lvlText w:val="%3."/>
      <w:lvlJc w:val="right"/>
      <w:pPr>
        <w:ind w:left="2149" w:hanging="180"/>
      </w:pPr>
    </w:lvl>
    <w:lvl w:ilvl="3" w:tplc="1EAE8178">
      <w:start w:val="1"/>
      <w:numFmt w:val="decimal"/>
      <w:lvlText w:val="%4."/>
      <w:lvlJc w:val="left"/>
      <w:pPr>
        <w:ind w:left="2869" w:hanging="360"/>
      </w:pPr>
    </w:lvl>
    <w:lvl w:ilvl="4" w:tplc="5CB641AC">
      <w:start w:val="1"/>
      <w:numFmt w:val="lowerLetter"/>
      <w:lvlText w:val="%5."/>
      <w:lvlJc w:val="left"/>
      <w:pPr>
        <w:ind w:left="3589" w:hanging="360"/>
      </w:pPr>
    </w:lvl>
    <w:lvl w:ilvl="5" w:tplc="D7D224CA">
      <w:start w:val="1"/>
      <w:numFmt w:val="lowerRoman"/>
      <w:lvlText w:val="%6."/>
      <w:lvlJc w:val="right"/>
      <w:pPr>
        <w:ind w:left="4309" w:hanging="180"/>
      </w:pPr>
    </w:lvl>
    <w:lvl w:ilvl="6" w:tplc="DE5895BE">
      <w:start w:val="1"/>
      <w:numFmt w:val="decimal"/>
      <w:lvlText w:val="%7."/>
      <w:lvlJc w:val="left"/>
      <w:pPr>
        <w:ind w:left="5029" w:hanging="360"/>
      </w:pPr>
    </w:lvl>
    <w:lvl w:ilvl="7" w:tplc="0EF6698E">
      <w:start w:val="1"/>
      <w:numFmt w:val="lowerLetter"/>
      <w:lvlText w:val="%8."/>
      <w:lvlJc w:val="left"/>
      <w:pPr>
        <w:ind w:left="5749" w:hanging="360"/>
      </w:pPr>
    </w:lvl>
    <w:lvl w:ilvl="8" w:tplc="EEB2B3E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7"/>
    <w:rsid w:val="002D7E77"/>
    <w:rsid w:val="00311D20"/>
    <w:rsid w:val="00B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8192-E722-4804-926B-ACDB6B13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91153;dst=100058" TargetMode="External"/><Relationship Id="rId13" Type="http://schemas.openxmlformats.org/officeDocument/2006/relationships/hyperlink" Target="consultantplus://offline/main?base=LAW;n=483143;dst=8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93154;dst=100676" TargetMode="External"/><Relationship Id="rId12" Type="http://schemas.openxmlformats.org/officeDocument/2006/relationships/hyperlink" Target="consultantplus://offline/main?base=LAW;n=491421;dst=1009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493063;dst=1000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493063;ds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91153;dst=100010" TargetMode="External"/><Relationship Id="rId14" Type="http://schemas.openxmlformats.org/officeDocument/2006/relationships/hyperlink" Target="consultantplus://offline/main?base=LAW;n=491421;dst=100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Приемная</cp:lastModifiedBy>
  <cp:revision>12</cp:revision>
  <dcterms:created xsi:type="dcterms:W3CDTF">2023-08-31T14:11:00Z</dcterms:created>
  <dcterms:modified xsi:type="dcterms:W3CDTF">2025-01-20T12:49:00Z</dcterms:modified>
</cp:coreProperties>
</file>