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недвижимости в дар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Получить в подарок квартиру</w:t>
      </w:r>
      <w:r>
        <w:rPr>
          <w:rFonts w:ascii="Times New Roman" w:hAnsi="Times New Roman" w:cs="Times New Roman"/>
          <w:sz w:val="28"/>
          <w:szCs w:val="28"/>
        </w:rPr>
        <w:t xml:space="preserve"> или другое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– безусловно, очень радостное событие в жизни.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Собственник недвижимого имущества (квартиры, земельного участка и т.п.) вправе распорядиться имуществом по </w:t>
      </w:r>
      <w:r>
        <w:rPr>
          <w:rFonts w:ascii="Times New Roman" w:hAnsi="Times New Roman" w:cs="Times New Roman"/>
          <w:sz w:val="28"/>
          <w:szCs w:val="28"/>
        </w:rPr>
        <w:t xml:space="preserve">своему усмотрению, в том числе и подарить. В настоящее время государственная регистрация непосредственно договора дарения не требуется. Вместе с тем необходимо регистрировать переход права собственности на недвижимые вещи, в том числе в результате дарения.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Отметим, что обязательного нотариального удостоверения договор дарения недвижимого имущества не требует, за исключением случаев, когда: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отчуждается недвижимое имущество, принадлежащее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есовершеннолетнему гражданину или гражданину, признанному ограниченно дееспособным;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доля в праве общей собственности на недвижимое имущество.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Если договор дарения заключен в простой письменной форме, то документы на государственную регистрацию должны подавать две стороны.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Если договор дарения составлен в нотариальной форме, запись в государственный реестр может быть внесена по заявлению любой стороной сделки, в том числе через нотариуса.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о государственной регистрации и необходимыми документами можно обратиться в любое отделение Государственного бюджет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услуг, посредством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www.rosreestr.ru в форме электронных документов, подписанных усиленной квалифицированной электронной подписью, или почтовым отправлением.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После получения в дар недвижимости, кроме радости, возникают и вопросы. Самый первый: нужно ли платить налог на дарение?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даритель и одаряемый близкие родственники, то одаряемый освобождается от налога (п. 18.1 ст. 217 Налогового кодекса РФ).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v.mamontov</cp:lastModifiedBy>
  <cp:revision>8</cp:revision>
  <dcterms:created xsi:type="dcterms:W3CDTF">2022-05-26T13:05:00Z</dcterms:created>
  <dcterms:modified xsi:type="dcterms:W3CDTF">2025-05-28T08:17:56Z</dcterms:modified>
</cp:coreProperties>
</file>