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Банкротство и единственное жилье в ипотеке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Согласно Федерального закона от 08.08.2024 N 298-ФЗ с 8 сентября 2024 года начала работать процедура защиты единственного жилья в ипотеке при банкротстве.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Третье лицо вправ</w:t>
      </w:r>
      <w:r>
        <w:rPr>
          <w:rFonts w:ascii="Times New Roman" w:hAnsi="Times New Roman" w:cs="Times New Roman"/>
          <w:sz w:val="28"/>
          <w:szCs w:val="28"/>
        </w:rPr>
        <w:t xml:space="preserve">е с согласия гражданина-должника в особом порядке полностью погасить требования кредитора, которые обеспечены ипотекой жилья или его части. Речь идет о единственно пригодном для постоянного проживания должника и его семьи помещении, которое можно взыскать.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Удовлетворить требования разрешается на любой стадии рассмотрения дела. Однако это не должно произойти ранее истечения 2 месяцев с да</w:t>
      </w:r>
      <w:r>
        <w:rPr>
          <w:rFonts w:ascii="Times New Roman" w:hAnsi="Times New Roman" w:cs="Times New Roman"/>
          <w:sz w:val="28"/>
          <w:szCs w:val="28"/>
        </w:rPr>
        <w:t xml:space="preserve">ты, когда опубликовали сообщение об обоснованности заявления о банкротстве. При таком погашении требований будут считать, что гражданину выдан беспроцентный заем сроком до востребования, но не менее 3 лет со дня, например, прекращения производства по делу.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Одно из последствий этих действий – жилье и участок под ним не взыщут при банкротстве.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Также кредитор, требования которого обеспечены залогом аналогичной недвижимости, может заключить с должником отдельное мировое соглашение. Среди параметров сделки отметим такие: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она не затронет отношения гражданина с кредиторами, требования которых не обеспечены ипотекой той же недвижимости. Получать их одобрение не нужно;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сделке смогут участвовать третьи лица, которые принимают на себя права и обязанности по соглашению;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несогласие финансового управляющего не основание для суда отказать в утверждении документа;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 дня утверждения соглашения жилье и участок под ним не взыщут при банкротстве.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Есть и другие изменения.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v.mamontov</cp:lastModifiedBy>
  <cp:revision>3</cp:revision>
  <dcterms:created xsi:type="dcterms:W3CDTF">2024-08-28T07:03:00Z</dcterms:created>
  <dcterms:modified xsi:type="dcterms:W3CDTF">2025-08-28T11:16:08Z</dcterms:modified>
</cp:coreProperties>
</file>