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AD" w:rsidRPr="00325B8F" w:rsidRDefault="007249AD" w:rsidP="007249AD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B8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325B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02772C3" wp14:editId="546A5C16">
            <wp:extent cx="815340" cy="1158240"/>
            <wp:effectExtent l="0" t="0" r="3810" b="3810"/>
            <wp:docPr id="3" name="Рисунок 3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AD" w:rsidRPr="00325B8F" w:rsidRDefault="007249AD" w:rsidP="007249A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5B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7249AD" w:rsidRPr="00325B8F" w:rsidRDefault="007249AD" w:rsidP="007249A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5B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:rsidR="007249AD" w:rsidRPr="00325B8F" w:rsidRDefault="007249AD" w:rsidP="007249A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249AD" w:rsidRPr="00325B8F" w:rsidRDefault="007249AD" w:rsidP="007249A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25B8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7249AD" w:rsidRPr="00325B8F" w:rsidRDefault="007249AD" w:rsidP="007249A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249AD" w:rsidRPr="00325B8F" w:rsidRDefault="007249AD" w:rsidP="007249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5B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325B8F">
        <w:rPr>
          <w:rFonts w:ascii="Times New Roman" w:eastAsia="Times New Roman" w:hAnsi="Times New Roman" w:cs="Times New Roman"/>
          <w:sz w:val="28"/>
          <w:szCs w:val="28"/>
          <w:lang w:eastAsia="zh-CN"/>
        </w:rPr>
        <w:t>.11.</w:t>
      </w:r>
      <w:r w:rsidRPr="007450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2025                                                                                                        </w:t>
      </w:r>
      <w:r w:rsidRPr="00465561">
        <w:rPr>
          <w:rFonts w:ascii="Times New Roman" w:eastAsia="Times New Roman" w:hAnsi="Times New Roman" w:cs="Times New Roman"/>
          <w:sz w:val="28"/>
          <w:szCs w:val="28"/>
          <w:lang w:eastAsia="zh-CN"/>
        </w:rPr>
        <w:t>№ 3</w:t>
      </w:r>
      <w:r w:rsidR="00465561">
        <w:rPr>
          <w:rFonts w:ascii="Times New Roman" w:eastAsia="Times New Roman" w:hAnsi="Times New Roman" w:cs="Times New Roman"/>
          <w:sz w:val="28"/>
          <w:szCs w:val="28"/>
          <w:lang w:eastAsia="zh-CN"/>
        </w:rPr>
        <w:t>93</w:t>
      </w:r>
    </w:p>
    <w:p w:rsidR="007249AD" w:rsidRPr="00325B8F" w:rsidRDefault="007249AD" w:rsidP="007249A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25B8F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 Старощербиновская</w:t>
      </w: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BE" w:rsidRDefault="006953BE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срока реализации муниципальной программы и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7B4B4F">
        <w:rPr>
          <w:rFonts w:ascii="Times New Roman" w:hAnsi="Times New Roman" w:cs="Times New Roman"/>
          <w:sz w:val="28"/>
          <w:szCs w:val="28"/>
        </w:rPr>
        <w:t>21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7B4B4F">
        <w:rPr>
          <w:rFonts w:ascii="Times New Roman" w:hAnsi="Times New Roman" w:cs="Times New Roman"/>
          <w:sz w:val="28"/>
          <w:szCs w:val="28"/>
        </w:rPr>
        <w:t>октября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7B4B4F">
        <w:rPr>
          <w:rFonts w:ascii="Times New Roman" w:hAnsi="Times New Roman" w:cs="Times New Roman"/>
          <w:sz w:val="28"/>
          <w:szCs w:val="28"/>
        </w:rPr>
        <w:t>330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330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изменений в постановление администрации Старощербиновского сельского поселения Щербиновского района от 14 октября 2019 г. № 358 «Об утверждении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</w:t>
      </w:r>
      <w:bookmarkStart w:id="0" w:name="_GoBack"/>
      <w:bookmarkEnd w:id="0"/>
      <w:r w:rsidRPr="00720C9F">
        <w:rPr>
          <w:rFonts w:ascii="Times New Roman" w:eastAsia="Times New Roman" w:hAnsi="Times New Roman" w:cs="Times New Roman"/>
          <w:sz w:val="28"/>
          <w:szCs w:val="28"/>
        </w:rPr>
        <w:t>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72F" w:rsidRDefault="00CC372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456AB0" w:rsidRPr="00456AB0" w:rsidTr="007249AD">
        <w:tc>
          <w:tcPr>
            <w:tcW w:w="4796" w:type="dxa"/>
            <w:shd w:val="clear" w:color="auto" w:fill="auto"/>
          </w:tcPr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456AB0" w:rsidRPr="00456AB0" w:rsidRDefault="00456AB0" w:rsidP="00456AB0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AB0" w:rsidRPr="00456AB0" w:rsidRDefault="00456AB0" w:rsidP="00456AB0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456AB0" w:rsidRPr="00456AB0" w:rsidRDefault="00456AB0" w:rsidP="00456AB0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56AB0" w:rsidRPr="00456AB0" w:rsidRDefault="00456AB0" w:rsidP="00456AB0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249AD" w:rsidRPr="00465561">
              <w:rPr>
                <w:rFonts w:ascii="Times New Roman" w:eastAsia="Times New Roman" w:hAnsi="Times New Roman" w:cs="Times New Roman"/>
                <w:sz w:val="28"/>
                <w:szCs w:val="28"/>
              </w:rPr>
              <w:t>25.11.2025</w:t>
            </w:r>
            <w:r w:rsidRPr="00465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65561" w:rsidRPr="00465561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456AB0" w:rsidRPr="00456AB0" w:rsidTr="00963144">
        <w:tc>
          <w:tcPr>
            <w:tcW w:w="4927" w:type="dxa"/>
            <w:shd w:val="clear" w:color="auto" w:fill="auto"/>
          </w:tcPr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65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7249AD" w:rsidRPr="00465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25.11.2025</w:t>
            </w:r>
            <w:r w:rsidRPr="00465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465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393</w:t>
            </w:r>
          </w:p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:rsidR="00456AB0" w:rsidRPr="00456AB0" w:rsidRDefault="00456AB0" w:rsidP="0045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сфере реализации муниципальной программы</w:t>
      </w:r>
    </w:p>
    <w:p w:rsidR="00456AB0" w:rsidRPr="00456AB0" w:rsidRDefault="00456AB0" w:rsidP="0045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Pr="00456AB0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456AB0" w:rsidRPr="00456AB0" w:rsidRDefault="00456AB0" w:rsidP="00456AB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456AB0" w:rsidRPr="00456AB0" w:rsidRDefault="00456AB0" w:rsidP="00456AB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456AB0" w:rsidRPr="00456AB0" w:rsidRDefault="00456AB0" w:rsidP="00456AB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За 2024 год число зарегистрированных пользователей МКУК «Детская библиотека» составило 2133 человека, число посещений - 18953, для детей проведено 129 мероприятий, на которых присутствовали 2516 человек.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2024 году приобретено 391 экземпляр литературы.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В течение 2024 года проведено 436 мероприятий. Число участников мероприятий составило 119460 человек. В 2024 году на базе МБУК ЦНТ функционировало 23 клубных формирований, в том числе 12 коллективов самодеятельного народного творчества., 5 из которых </w:t>
      </w:r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подтвердили в 2024 году звание «народный самодеятельный коллектив»,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</w:t>
      </w:r>
      <w:proofErr w:type="spellStart"/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Берегиня</w:t>
      </w:r>
      <w:proofErr w:type="spellEnd"/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», 2 коллектива, подтвердили звание «детский образцовый» художественный коллектив», это детский образцовый вокальный ансамбль «Юность», детский образцовый хореографический ансамбль «Вдохновение», и 1 коллектив получил звание «детский образцовый», это детский образцовый хореографический ансамбль «</w:t>
      </w:r>
      <w:proofErr w:type="spellStart"/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2024 году составила 4420 человек. Проведено 5 плановых музейных мероприятий. Открыто 22 выставки различной направленности. Фонд музея пополнился за 2024 год на 144 единицы и составил 7572 единицы хранения.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1.2.4. Число штатных единиц МБУК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составляет 13 единиц.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За 2024 год в кинотеатре «Родина» проведено 2254 киносеанса, в том числе платных 2104. Количество зрителей платных киносеансов 11345 человек. </w:t>
      </w:r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13751 зритель. Проведены 150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456AB0" w:rsidRPr="00456AB0" w:rsidRDefault="00456AB0" w:rsidP="00456AB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библиотечного обслуживания населения, пополнение библиотечного фонда и обеспечение его сохранности;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организации массового отдыха и досуга жителей поселения; 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456AB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45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9AD"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9AD"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9AD"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9AD"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Pr="00456AB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proofErr w:type="gramStart"/>
      <w:r w:rsidRPr="00456AB0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456AB0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56AB0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proofErr w:type="gram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отремонтированных учреждений поселения» рассчитывается по формуле: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lastRenderedPageBreak/>
        <w:t>Оюу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оказание юридических услуг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антитеррористической защищенности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мероприятий по обустройству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1" w:name="_Hlk200103437"/>
      <w:r w:rsidRPr="00456AB0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1"/>
      <w:r w:rsidRPr="00456AB0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3.1. В рамках муниципальной программы подпрограммы не реализуются.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бюджетного учреждения культуры «Старощербиновский историко-краеведческий музей имени М.М.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456AB0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основное мероприятие № 14 </w:t>
      </w:r>
      <w:bookmarkStart w:id="2" w:name="_Hlk200016229"/>
      <w:r w:rsidRPr="00456AB0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2"/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254131231,69 (двести пятьдесят четыре миллиона сто тридцать одна тысяча двести тридцать один) рубль 69 копеек, в том числе: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второй этап: 117847486,0.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456AB0" w:rsidRPr="00456AB0" w:rsidTr="00963144">
        <w:trPr>
          <w:trHeight w:val="559"/>
        </w:trPr>
        <w:tc>
          <w:tcPr>
            <w:tcW w:w="3794" w:type="dxa"/>
            <w:vMerge w:val="restart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финансирования, второго этапа, 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4536" w:type="dxa"/>
            <w:gridSpan w:val="4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456AB0" w:rsidRPr="00456AB0" w:rsidTr="00963144">
        <w:trPr>
          <w:trHeight w:val="460"/>
        </w:trPr>
        <w:tc>
          <w:tcPr>
            <w:tcW w:w="3794" w:type="dxa"/>
            <w:vMerge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117847486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117591086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11960880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3080960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60423964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16384400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14844132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14925432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3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30515850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7574648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7495251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7965951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4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13713200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658898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AB0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обеспечивает разработку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456AB0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456A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     31 декабря текущего финансового года, разрабатывает </w:t>
      </w:r>
      <w:hyperlink r:id="rId10" w:anchor="Par1729" w:history="1">
        <w:r w:rsidRPr="00456AB0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456AB0">
        <w:rPr>
          <w:rFonts w:ascii="Calibri" w:eastAsia="Times New Roman" w:hAnsi="Calibri" w:cs="Calibri"/>
          <w:szCs w:val="20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План реализации муниципальной программы направляется координатором муниципальной программы в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финансово-экономический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отдел администрации Старощербиновского сельского поселения Щербиновского района (далее -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финансово-экономический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отдел) в течение трех рабочих дней с даты подписания.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456AB0">
        <w:rPr>
          <w:rFonts w:ascii="Times New Roman" w:eastAsia="Times New Roman" w:hAnsi="Times New Roman" w:cs="Times New Roman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финансово-экономический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отдел в течение 3 рабочих дней после его корректировки.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7.5. Мониторинг реализации муниципальной программы осуществляется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7.6. Координатор муниципальной программы ежеквартально, до 20-го числа месяца, следующего за отчетным кварталом, представляет в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финансово-экономический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отдел заполненные отчетные формы мониторинга реализации муниципальной программы.</w:t>
      </w:r>
      <w:r w:rsidRPr="00456AB0">
        <w:rPr>
          <w:rFonts w:ascii="Times New Roman" w:eastAsia="Times New Roman" w:hAnsi="Times New Roman" w:cs="Times New Roman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7.7. Координатор муниципальной программы ежегодно, до 15 февраля года, следующего за отчетным годом, направляет в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финансово-экономический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отдел доклад о ходе реализации муниципальной программы на бумажных и электронных носителях.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По завершению срока реализации муниципальной программы в отчетном году, координатор муниципальной программы представляет в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финансово-экономический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Финансово-экономический отдел ежегодно, до 1 апреля года, следую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456AB0" w:rsidRPr="00456AB0" w:rsidRDefault="00456AB0" w:rsidP="00456AB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456AB0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7.13. Исполнитель:</w:t>
      </w:r>
    </w:p>
    <w:p w:rsidR="00456AB0" w:rsidRPr="00456AB0" w:rsidRDefault="00456AB0" w:rsidP="009C7E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456AB0" w:rsidRPr="00456AB0" w:rsidRDefault="00456AB0" w:rsidP="009C7E85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7249AD" w:rsidRDefault="007249AD" w:rsidP="00A93EFC">
      <w:pPr>
        <w:spacing w:after="0" w:line="240" w:lineRule="auto"/>
        <w:rPr>
          <w:rFonts w:ascii="Times New Roman" w:hAnsi="Times New Roman" w:cs="Times New Roman"/>
        </w:rPr>
      </w:pPr>
    </w:p>
    <w:p w:rsidR="007249AD" w:rsidRDefault="007249AD" w:rsidP="00A93EFC">
      <w:pPr>
        <w:spacing w:after="0" w:line="240" w:lineRule="auto"/>
        <w:rPr>
          <w:rFonts w:ascii="Times New Roman" w:hAnsi="Times New Roman" w:cs="Times New Roman"/>
        </w:rPr>
      </w:pPr>
    </w:p>
    <w:p w:rsidR="007249AD" w:rsidRDefault="007249AD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A81187" w:rsidRPr="00A81187" w:rsidTr="00963144">
        <w:tc>
          <w:tcPr>
            <w:tcW w:w="4927" w:type="dxa"/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отдел администрации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A81187" w:rsidRPr="00A81187" w:rsidRDefault="00A81187" w:rsidP="00A81187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 период ее реализации, рублей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254131231,69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117847486,00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над выполнением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отдел администрации Старощербиновского сельского поселения Щербиновского района.</w:t>
            </w:r>
          </w:p>
        </w:tc>
      </w:tr>
      <w:tr w:rsidR="00A81187" w:rsidRPr="00A81187" w:rsidTr="0096314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A81187" w:rsidRPr="00A81187" w:rsidTr="0096314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A81187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A81187" w:rsidRPr="00A81187" w:rsidTr="00963144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3" w:name="P1261"/>
            <w:bookmarkEnd w:id="3"/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134"/>
        <w:gridCol w:w="1134"/>
        <w:gridCol w:w="992"/>
        <w:gridCol w:w="851"/>
        <w:gridCol w:w="1701"/>
        <w:gridCol w:w="61"/>
      </w:tblGrid>
      <w:tr w:rsidR="00A81187" w:rsidRPr="00A81187" w:rsidTr="00963144">
        <w:tc>
          <w:tcPr>
            <w:tcW w:w="2189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32" w:type="dxa"/>
            <w:gridSpan w:val="7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A81187" w:rsidRPr="00A81187" w:rsidTr="00963144">
        <w:trPr>
          <w:gridAfter w:val="1"/>
          <w:wAfter w:w="61" w:type="dxa"/>
          <w:trHeight w:val="240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117591086,0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117847486,0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  <w:sectPr w:rsidR="00A81187" w:rsidSect="007249AD">
          <w:headerReference w:type="even" r:id="rId12"/>
          <w:headerReference w:type="default" r:id="rId13"/>
          <w:headerReference w:type="first" r:id="rId14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A81187" w:rsidRPr="00A81187" w:rsidTr="00963144">
        <w:tc>
          <w:tcPr>
            <w:tcW w:w="960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A81187" w:rsidRPr="00A81187" w:rsidTr="00963144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A81187" w:rsidRPr="00A81187" w:rsidTr="00963144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обеспечение мероприятий по обустройству учреждений культуры и кинематографии поселения для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A811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A811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81187" w:rsidRPr="00A81187" w:rsidRDefault="00A81187" w:rsidP="00A811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 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А.С. Калмыкова</w:t>
      </w: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A81187" w:rsidRPr="00A81187" w:rsidTr="00963144">
        <w:tc>
          <w:tcPr>
            <w:tcW w:w="9889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A811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A81187" w:rsidRPr="00A81187" w:rsidTr="00963144">
        <w:tc>
          <w:tcPr>
            <w:tcW w:w="70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A81187" w:rsidRPr="00A81187" w:rsidTr="00963144">
        <w:trPr>
          <w:trHeight w:val="596"/>
        </w:trPr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1.1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11960880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11960880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3080960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3080960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бюджетного учреждения культуры «Центр народного творчества» Старощербиновского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сельского поселения Щербиновского района»  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60423964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60423964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условий для организации массового отдыха и досуга жителей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района, МБУК ЦНТ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16384400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16384400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14844132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14844132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14925432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14925432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A81187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30515850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30515850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7574648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7495251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7965951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7965951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1.4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A81187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4 «Обеспечение деятельности муниципального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обеспечение библиотечного обслуживания населения, пополне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ние 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Старощербиновский музей, МБУК ЦНТ, МБУК «Щербиновский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«Капитальный и текущий ремонт учреждений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капитальный и текущий ремонт учреждений культуры и кинематографии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юридическими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юридическими услугами учреждения куль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ации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учреждений культуры и кинема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антитеррористической защищенности учреждения культуры и кинематографии Старо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муниципального казенного учреждения культуры «Детская библиотека» Старощербиновского сельского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rHeight w:val="111"/>
        </w:trPr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учреждений культуры и кинематографии Старощербиновского сельского поселения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требований пожарной безопасности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», МКУК «Детская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1.12.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Мероприятие № 12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1.13.1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№ 13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Мероприятие № 13.2 обеспечение экологиче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ской безопасности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экологической безопас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ности муниципального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1.14.1.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сельских поселений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Старощербиновский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1.15.1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117847486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117591086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rPr>
          <w:trHeight w:val="357"/>
        </w:trPr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1187">
        <w:rPr>
          <w:rFonts w:ascii="Times New Roman" w:eastAsia="Times New Roman" w:hAnsi="Times New Roman" w:cs="Times New Roman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A81187" w:rsidRPr="00A81187" w:rsidRDefault="00A81187" w:rsidP="00A81187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A81187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A81187">
        <w:rPr>
          <w:rFonts w:ascii="Times New Roman" w:eastAsia="Times New Roman" w:hAnsi="Times New Roman" w:cs="Times New Roman"/>
          <w:lang w:eastAsia="ar-SA"/>
        </w:rPr>
        <w:t>.</w:t>
      </w: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А.С. Калмыкова</w:t>
      </w:r>
    </w:p>
    <w:p w:rsidR="00A81187" w:rsidRPr="00A81187" w:rsidRDefault="00A81187" w:rsidP="00A811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A81187" w:rsidRPr="00A81187" w:rsidTr="00963144">
        <w:trPr>
          <w:trHeight w:val="2416"/>
        </w:trPr>
        <w:tc>
          <w:tcPr>
            <w:tcW w:w="9707" w:type="dxa"/>
          </w:tcPr>
          <w:p w:rsidR="00A81187" w:rsidRPr="00A81187" w:rsidRDefault="00A81187" w:rsidP="00A81187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A81187" w:rsidRPr="00A81187" w:rsidTr="00963144"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3080960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12463400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10923132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11004432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81187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7965951</w:t>
            </w:r>
          </w:p>
        </w:tc>
      </w:tr>
    </w:tbl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sectPr w:rsidR="00A81187" w:rsidSect="00A8118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CF" w:rsidRDefault="00D262CF" w:rsidP="00530D45">
      <w:pPr>
        <w:spacing w:after="0" w:line="240" w:lineRule="auto"/>
      </w:pPr>
      <w:r>
        <w:separator/>
      </w:r>
    </w:p>
  </w:endnote>
  <w:endnote w:type="continuationSeparator" w:id="0">
    <w:p w:rsidR="00D262CF" w:rsidRDefault="00D262CF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CF" w:rsidRDefault="00D262CF" w:rsidP="00530D45">
      <w:pPr>
        <w:spacing w:after="0" w:line="240" w:lineRule="auto"/>
      </w:pPr>
      <w:r>
        <w:separator/>
      </w:r>
    </w:p>
  </w:footnote>
  <w:footnote w:type="continuationSeparator" w:id="0">
    <w:p w:rsidR="00D262CF" w:rsidRDefault="00D262CF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BF" w:rsidRPr="009F43FD" w:rsidRDefault="00D65DF1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52FE8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452FE8">
                      <w:rPr>
                        <w:noProof/>
                        <w:sz w:val="24"/>
                        <w:szCs w:val="24"/>
                      </w:rPr>
                      <w:t>21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2FE8">
                            <w:rPr>
                              <w:noProof/>
                              <w:sz w:val="28"/>
                              <w:szCs w:val="28"/>
                            </w:rPr>
                            <w:t>21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452FE8">
                      <w:rPr>
                        <w:noProof/>
                        <w:sz w:val="28"/>
                        <w:szCs w:val="28"/>
                      </w:rPr>
                      <w:t>21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10"/>
    <w:rsid w:val="0001546A"/>
    <w:rsid w:val="00017CE5"/>
    <w:rsid w:val="00027615"/>
    <w:rsid w:val="00036ED8"/>
    <w:rsid w:val="0004246D"/>
    <w:rsid w:val="00044130"/>
    <w:rsid w:val="00045418"/>
    <w:rsid w:val="0005513F"/>
    <w:rsid w:val="0006619B"/>
    <w:rsid w:val="00076A64"/>
    <w:rsid w:val="0009285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52FD"/>
    <w:rsid w:val="001D00CC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6536"/>
    <w:rsid w:val="002F06FC"/>
    <w:rsid w:val="00310DE3"/>
    <w:rsid w:val="00317DB6"/>
    <w:rsid w:val="00337620"/>
    <w:rsid w:val="00340617"/>
    <w:rsid w:val="00363AC6"/>
    <w:rsid w:val="003640CF"/>
    <w:rsid w:val="00365A06"/>
    <w:rsid w:val="00366FF6"/>
    <w:rsid w:val="00384022"/>
    <w:rsid w:val="003B2472"/>
    <w:rsid w:val="003B4D68"/>
    <w:rsid w:val="003C0F7C"/>
    <w:rsid w:val="003C4602"/>
    <w:rsid w:val="003E7D57"/>
    <w:rsid w:val="003F0C6C"/>
    <w:rsid w:val="003F1925"/>
    <w:rsid w:val="00402B5C"/>
    <w:rsid w:val="004303EC"/>
    <w:rsid w:val="00430FC6"/>
    <w:rsid w:val="004363AA"/>
    <w:rsid w:val="004367D7"/>
    <w:rsid w:val="00436C27"/>
    <w:rsid w:val="00445A2F"/>
    <w:rsid w:val="0044664A"/>
    <w:rsid w:val="00452776"/>
    <w:rsid w:val="00452FE8"/>
    <w:rsid w:val="00456AB0"/>
    <w:rsid w:val="00465561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72502"/>
    <w:rsid w:val="005807F2"/>
    <w:rsid w:val="00585F07"/>
    <w:rsid w:val="00590873"/>
    <w:rsid w:val="005B60A8"/>
    <w:rsid w:val="005F2CD3"/>
    <w:rsid w:val="00613FED"/>
    <w:rsid w:val="006209CB"/>
    <w:rsid w:val="00625828"/>
    <w:rsid w:val="00630BC0"/>
    <w:rsid w:val="00633EDD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49AD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76512"/>
    <w:rsid w:val="00777B99"/>
    <w:rsid w:val="00796806"/>
    <w:rsid w:val="00797BE7"/>
    <w:rsid w:val="007A1210"/>
    <w:rsid w:val="007B4B4F"/>
    <w:rsid w:val="007B6F8A"/>
    <w:rsid w:val="007C2BEC"/>
    <w:rsid w:val="007E1638"/>
    <w:rsid w:val="007E3C51"/>
    <w:rsid w:val="008063AE"/>
    <w:rsid w:val="00811985"/>
    <w:rsid w:val="00814138"/>
    <w:rsid w:val="0082344A"/>
    <w:rsid w:val="00823DEC"/>
    <w:rsid w:val="0083736B"/>
    <w:rsid w:val="00843BBC"/>
    <w:rsid w:val="00845C0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7585"/>
    <w:rsid w:val="00901583"/>
    <w:rsid w:val="0090290F"/>
    <w:rsid w:val="00924A4D"/>
    <w:rsid w:val="00943FCD"/>
    <w:rsid w:val="009444AC"/>
    <w:rsid w:val="009465F9"/>
    <w:rsid w:val="00961EBF"/>
    <w:rsid w:val="009673DC"/>
    <w:rsid w:val="00980622"/>
    <w:rsid w:val="00990102"/>
    <w:rsid w:val="009B62E5"/>
    <w:rsid w:val="009C7E85"/>
    <w:rsid w:val="009E4627"/>
    <w:rsid w:val="009E75D8"/>
    <w:rsid w:val="009F1951"/>
    <w:rsid w:val="009F43FD"/>
    <w:rsid w:val="009F69DA"/>
    <w:rsid w:val="009F723B"/>
    <w:rsid w:val="00A014C1"/>
    <w:rsid w:val="00A243E5"/>
    <w:rsid w:val="00A32CBC"/>
    <w:rsid w:val="00A35FB0"/>
    <w:rsid w:val="00A363B4"/>
    <w:rsid w:val="00A40EAE"/>
    <w:rsid w:val="00A440E8"/>
    <w:rsid w:val="00A5546D"/>
    <w:rsid w:val="00A6201A"/>
    <w:rsid w:val="00A735FE"/>
    <w:rsid w:val="00A77193"/>
    <w:rsid w:val="00A81187"/>
    <w:rsid w:val="00A86E72"/>
    <w:rsid w:val="00A9289E"/>
    <w:rsid w:val="00A93EFC"/>
    <w:rsid w:val="00A9614B"/>
    <w:rsid w:val="00A965AE"/>
    <w:rsid w:val="00AB58EE"/>
    <w:rsid w:val="00AC6EB4"/>
    <w:rsid w:val="00AD3064"/>
    <w:rsid w:val="00B044F6"/>
    <w:rsid w:val="00B13F80"/>
    <w:rsid w:val="00B27A39"/>
    <w:rsid w:val="00B5003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C152DB"/>
    <w:rsid w:val="00C166BD"/>
    <w:rsid w:val="00C22DFC"/>
    <w:rsid w:val="00C32384"/>
    <w:rsid w:val="00C331C7"/>
    <w:rsid w:val="00C40CA5"/>
    <w:rsid w:val="00C40D44"/>
    <w:rsid w:val="00C67C2A"/>
    <w:rsid w:val="00C70CD1"/>
    <w:rsid w:val="00C74452"/>
    <w:rsid w:val="00C92DB4"/>
    <w:rsid w:val="00CA2AA9"/>
    <w:rsid w:val="00CA6F53"/>
    <w:rsid w:val="00CB35EE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62CF"/>
    <w:rsid w:val="00D27943"/>
    <w:rsid w:val="00D33E10"/>
    <w:rsid w:val="00D34925"/>
    <w:rsid w:val="00D34D45"/>
    <w:rsid w:val="00D4449F"/>
    <w:rsid w:val="00D533CC"/>
    <w:rsid w:val="00D57A03"/>
    <w:rsid w:val="00D65873"/>
    <w:rsid w:val="00D65DF1"/>
    <w:rsid w:val="00D71065"/>
    <w:rsid w:val="00D73A26"/>
    <w:rsid w:val="00D90966"/>
    <w:rsid w:val="00DA05D0"/>
    <w:rsid w:val="00DB7E5B"/>
    <w:rsid w:val="00DE72BF"/>
    <w:rsid w:val="00DF1B8C"/>
    <w:rsid w:val="00E0224B"/>
    <w:rsid w:val="00E10B38"/>
    <w:rsid w:val="00E25E25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B7D00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unhideWhenUsed/>
    <w:rsid w:val="00456AB0"/>
  </w:style>
  <w:style w:type="character" w:styleId="ab">
    <w:name w:val="Hyperlink"/>
    <w:rsid w:val="00456AB0"/>
    <w:rPr>
      <w:color w:val="0563C1"/>
      <w:u w:val="single"/>
    </w:rPr>
  </w:style>
  <w:style w:type="paragraph" w:customStyle="1" w:styleId="ac">
    <w:name w:val="Содержимое таблицы"/>
    <w:basedOn w:val="a"/>
    <w:rsid w:val="00456AB0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456A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56A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basedOn w:val="a"/>
    <w:next w:val="ae"/>
    <w:uiPriority w:val="99"/>
    <w:unhideWhenUsed/>
    <w:rsid w:val="0045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45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56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A81187"/>
  </w:style>
  <w:style w:type="table" w:customStyle="1" w:styleId="10">
    <w:name w:val="Сетка таблицы1"/>
    <w:basedOn w:val="a1"/>
    <w:next w:val="af"/>
    <w:rsid w:val="00A811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A8118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&#1055;&#1054;&#1056;&#1071;&#1044;&#1054;&#1050;%20&#1087;&#1088;&#1080;&#1083;.%20&#1082;%20&#1087;&#1086;&#1089;&#1090;&#1072;&#1085;&#1086;&#1074;&#1083;.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4A53-40CB-4864-A549-FA93587E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47</Pages>
  <Words>11204</Words>
  <Characters>63863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</cp:lastModifiedBy>
  <cp:revision>10</cp:revision>
  <cp:lastPrinted>2025-11-07T13:15:00Z</cp:lastPrinted>
  <dcterms:created xsi:type="dcterms:W3CDTF">2025-11-07T13:27:00Z</dcterms:created>
  <dcterms:modified xsi:type="dcterms:W3CDTF">2025-11-26T08:44:00Z</dcterms:modified>
</cp:coreProperties>
</file>