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FE" w:rsidRPr="008069FE" w:rsidRDefault="008069FE" w:rsidP="008069FE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9FE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8069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5340" cy="1158240"/>
            <wp:effectExtent l="0" t="0" r="3810" b="3810"/>
            <wp:docPr id="3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69F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69F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069F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069FE" w:rsidRPr="008069FE" w:rsidRDefault="008069FE" w:rsidP="008069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69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1C1DFF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Pr="008069F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C1DFF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8069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.2025                                                                                                        </w:t>
      </w:r>
      <w:r w:rsidRPr="00B76F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B76F53" w:rsidRPr="00B76F53">
        <w:rPr>
          <w:rFonts w:ascii="Times New Roman" w:eastAsia="Times New Roman" w:hAnsi="Times New Roman" w:cs="Times New Roman"/>
          <w:sz w:val="28"/>
          <w:szCs w:val="28"/>
          <w:lang w:eastAsia="zh-CN"/>
        </w:rPr>
        <w:t>330</w:t>
      </w:r>
    </w:p>
    <w:p w:rsidR="008069FE" w:rsidRPr="008069FE" w:rsidRDefault="008069FE" w:rsidP="008069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8069FE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8069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срока реализации муниципальной программы и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F63B00">
        <w:rPr>
          <w:rFonts w:ascii="Times New Roman" w:hAnsi="Times New Roman" w:cs="Times New Roman"/>
          <w:sz w:val="28"/>
          <w:szCs w:val="28"/>
        </w:rPr>
        <w:t>26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F63B00">
        <w:rPr>
          <w:rFonts w:ascii="Times New Roman" w:hAnsi="Times New Roman" w:cs="Times New Roman"/>
          <w:sz w:val="28"/>
          <w:szCs w:val="28"/>
        </w:rPr>
        <w:t>июня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F63B00">
        <w:rPr>
          <w:rFonts w:ascii="Times New Roman" w:hAnsi="Times New Roman" w:cs="Times New Roman"/>
          <w:sz w:val="28"/>
          <w:szCs w:val="28"/>
        </w:rPr>
        <w:t>179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F63B00">
        <w:rPr>
          <w:rFonts w:ascii="Times New Roman" w:eastAsia="Times New Roman" w:hAnsi="Times New Roman" w:cs="Times New Roman"/>
          <w:sz w:val="28"/>
          <w:szCs w:val="28"/>
          <w:lang w:eastAsia="ar-SA"/>
        </w:rPr>
        <w:t>179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Старощербиновского сельского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304796" w:rsidRPr="00304796" w:rsidTr="000A11F6"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4796" w:rsidRPr="00304796" w:rsidRDefault="00304796" w:rsidP="00304796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304796" w:rsidRPr="00304796" w:rsidRDefault="00304796" w:rsidP="00304796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04796" w:rsidRPr="00304796" w:rsidRDefault="00304796" w:rsidP="00304796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C1DFF" w:rsidRPr="00B76F53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</w:t>
            </w:r>
            <w:r w:rsidRPr="00B76F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76F53" w:rsidRPr="00B76F53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304796" w:rsidRPr="00304796" w:rsidTr="000A11F6"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304796" w:rsidRPr="00304796" w:rsidRDefault="00304796" w:rsidP="0030479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F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C1DFF" w:rsidRPr="00B76F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21.10.2025</w:t>
            </w:r>
            <w:r w:rsidRPr="00B76F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B76F53" w:rsidRPr="00B76F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330</w:t>
            </w:r>
          </w:p>
          <w:p w:rsidR="00304796" w:rsidRPr="00304796" w:rsidRDefault="00304796" w:rsidP="003047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текущего состояния и основные проблемы</w:t>
      </w: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304796" w:rsidRPr="00304796" w:rsidRDefault="00304796" w:rsidP="00304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304796" w:rsidRPr="00304796" w:rsidRDefault="00336343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304796" w:rsidRPr="00304796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304796" w:rsidRPr="00304796" w:rsidRDefault="00304796" w:rsidP="00304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304796" w:rsidRPr="00304796" w:rsidRDefault="00304796" w:rsidP="003363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304796" w:rsidRPr="00304796" w:rsidRDefault="00304796" w:rsidP="0033634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1.2.4. Число штатных единиц МБУК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304796" w:rsidRPr="00304796" w:rsidRDefault="00304796" w:rsidP="003363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Pr="00304796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304796" w:rsidRPr="00304796" w:rsidRDefault="00304796" w:rsidP="00336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304796" w:rsidRPr="00304796" w:rsidRDefault="00336343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304796" w:rsidRPr="00304796" w:rsidRDefault="00304796" w:rsidP="0030479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библиотечного обслуживания населения, пополнение библиотечного фонда и обеспечение его сохранности;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30479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304796" w:rsidRPr="00304796" w:rsidRDefault="00304796" w:rsidP="003363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304796" w:rsidRPr="00304796" w:rsidRDefault="00304796" w:rsidP="003047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304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304796" w:rsidRPr="00304796" w:rsidRDefault="00304796" w:rsidP="000A19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304796" w:rsidRPr="00304796" w:rsidRDefault="00304796" w:rsidP="000A19C2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9FE"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9FE"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9FE"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9FE"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304796" w:rsidRPr="003047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304796" w:rsidRPr="00304796" w:rsidRDefault="000A19C2" w:rsidP="0030479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304796" w:rsidRPr="00304796" w:rsidRDefault="00304796" w:rsidP="000A1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304796" w:rsidRPr="00304796" w:rsidRDefault="00304796" w:rsidP="000A19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304796" w:rsidRPr="00304796" w:rsidRDefault="000A19C2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04796" w:rsidRPr="00304796" w:rsidRDefault="000A19C2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04796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lastRenderedPageBreak/>
        <w:t>Оюу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мероприятий по обустройству </w:t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304796" w:rsidRPr="00304796" w:rsidRDefault="00304796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1F3635" w:rsidP="00304796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04796" w:rsidRPr="00304796" w:rsidRDefault="00304796" w:rsidP="00304796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04796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0" w:name="_Hlk200103437"/>
      <w:r w:rsidRPr="003047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0"/>
      <w:r w:rsidRPr="00304796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304796" w:rsidRPr="00304796" w:rsidRDefault="00304796" w:rsidP="00304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304796" w:rsidRPr="00304796" w:rsidRDefault="00304796" w:rsidP="00304796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3.1. В рамках муниципальной программы подпрограммы не реализуются.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304796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04796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304796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основное мероприятие № 14 </w:t>
      </w:r>
      <w:bookmarkStart w:id="1" w:name="_Hlk200016229"/>
      <w:r w:rsidRPr="00304796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1"/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304796" w:rsidRPr="00304796" w:rsidRDefault="001F3635" w:rsidP="0030479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796" w:rsidRPr="00304796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247636487 (двести сорок семь миллионов шестьсот тридцать шесть тысяч четыреста восемьдесят семь) рублей 69 копеек, в том числе: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>второй этап: 111352742,0.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304796" w:rsidRPr="00304796" w:rsidTr="000A11F6">
        <w:trPr>
          <w:trHeight w:val="559"/>
        </w:trPr>
        <w:tc>
          <w:tcPr>
            <w:tcW w:w="3794" w:type="dxa"/>
            <w:vMerge w:val="restart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финансирования, второго этапа, рублей</w:t>
            </w:r>
          </w:p>
        </w:tc>
        <w:tc>
          <w:tcPr>
            <w:tcW w:w="4536" w:type="dxa"/>
            <w:gridSpan w:val="4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04796" w:rsidRPr="00304796" w:rsidTr="000A11F6">
        <w:trPr>
          <w:trHeight w:val="460"/>
        </w:trPr>
        <w:tc>
          <w:tcPr>
            <w:tcW w:w="3794" w:type="dxa"/>
            <w:vMerge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04796" w:rsidRPr="00304796" w:rsidRDefault="00933EC4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04796" w:rsidRPr="00304796" w:rsidRDefault="00933EC4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04796" w:rsidRPr="00304796" w:rsidRDefault="00933EC4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04796" w:rsidRPr="00304796" w:rsidRDefault="00933EC4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111352742</w:t>
            </w: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111096342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27684512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10736000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57080000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3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29920000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12464000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3106000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578048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96">
              <w:rPr>
                <w:rFonts w:ascii="Times New Roman" w:eastAsia="Times New Roman" w:hAnsi="Times New Roman" w:cs="Times New Roman"/>
              </w:rPr>
              <w:t>144512</w:t>
            </w: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4796" w:rsidRPr="00304796" w:rsidRDefault="00304796" w:rsidP="0030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796" w:rsidRPr="00304796" w:rsidTr="000A11F6">
        <w:tc>
          <w:tcPr>
            <w:tcW w:w="3794" w:type="dxa"/>
          </w:tcPr>
          <w:p w:rsidR="00304796" w:rsidRPr="00304796" w:rsidRDefault="00304796" w:rsidP="00304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796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4796" w:rsidRPr="00304796" w:rsidRDefault="00304796" w:rsidP="0030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304796" w:rsidRPr="00304796" w:rsidRDefault="00304796" w:rsidP="0030479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4796" w:rsidRPr="00304796" w:rsidRDefault="00304796" w:rsidP="001F3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796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304796" w:rsidRPr="00304796" w:rsidRDefault="00304796" w:rsidP="0030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Pr="00304796" w:rsidRDefault="00304796" w:rsidP="001F36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7.1. Текущее управление муниципальной программой осуществляет ее 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lastRenderedPageBreak/>
        <w:t>координатор, который: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304796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3047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      31 декабря текущего финансового года, разрабатывает </w:t>
      </w:r>
      <w:hyperlink r:id="rId10" w:anchor="Par1729" w:history="1">
        <w:r w:rsidRPr="00304796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04796">
        <w:rPr>
          <w:rFonts w:ascii="Calibri" w:eastAsia="Times New Roman" w:hAnsi="Calibri" w:cs="Calibri"/>
          <w:szCs w:val="20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304796">
        <w:rPr>
          <w:rFonts w:ascii="Times New Roman" w:eastAsia="Times New Roman" w:hAnsi="Times New Roman" w:cs="Times New Roman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304796">
        <w:rPr>
          <w:rFonts w:ascii="Times New Roman" w:eastAsia="Times New Roman" w:hAnsi="Times New Roman" w:cs="Times New Roman"/>
        </w:rPr>
        <w:t xml:space="preserve">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</w:t>
      </w: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304796" w:rsidRPr="00304796" w:rsidRDefault="00304796" w:rsidP="00BF7FF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304796" w:rsidRPr="00304796" w:rsidRDefault="00304796" w:rsidP="003047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304796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304796" w:rsidRPr="00304796" w:rsidRDefault="00304796" w:rsidP="00BF7FF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04796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304796" w:rsidRPr="00304796" w:rsidRDefault="00304796" w:rsidP="00BF7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lastRenderedPageBreak/>
        <w:t>7.13. Исполнитель: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304796" w:rsidRPr="00304796" w:rsidRDefault="00304796" w:rsidP="0030479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6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304796" w:rsidRPr="00304796" w:rsidRDefault="00304796" w:rsidP="003047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4796" w:rsidRPr="00304796" w:rsidRDefault="00304796" w:rsidP="003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796" w:rsidRDefault="00304796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p w:rsidR="00BF7FF3" w:rsidRDefault="00BF7FF3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FB55EA" w:rsidRPr="00FB55EA" w:rsidTr="00BF7FF3">
        <w:tc>
          <w:tcPr>
            <w:tcW w:w="4808" w:type="dxa"/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FB55EA" w:rsidRPr="00FB55EA" w:rsidRDefault="00FB55EA" w:rsidP="00FB55E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ее реализации, рублей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247636487,69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111352742,0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5EA" w:rsidRPr="00FB55EA" w:rsidTr="000A11F6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FB55EA" w:rsidRPr="00FB55EA" w:rsidTr="000A11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FB55EA" w:rsidRPr="00FB55EA" w:rsidTr="000A11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FB55EA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FB55EA" w:rsidRPr="00FB55EA" w:rsidTr="000A11F6">
        <w:tc>
          <w:tcPr>
            <w:tcW w:w="431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FB55EA" w:rsidRPr="00FB55EA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2" w:name="P1261"/>
            <w:bookmarkEnd w:id="2"/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Финансовое обеспечение второго этапа реализации муниципальной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992"/>
        <w:gridCol w:w="1134"/>
        <w:gridCol w:w="992"/>
        <w:gridCol w:w="993"/>
        <w:gridCol w:w="1701"/>
        <w:gridCol w:w="44"/>
      </w:tblGrid>
      <w:tr w:rsidR="00FB55EA" w:rsidRPr="00FB55EA" w:rsidTr="000A11F6">
        <w:tc>
          <w:tcPr>
            <w:tcW w:w="2189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15" w:type="dxa"/>
            <w:gridSpan w:val="7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FB55EA" w:rsidRPr="00FB55EA" w:rsidTr="000A11F6">
        <w:trPr>
          <w:gridAfter w:val="1"/>
          <w:wAfter w:w="44" w:type="dxa"/>
          <w:trHeight w:val="240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111352742,0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111352742,0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  <w:tr w:rsidR="00FB55EA" w:rsidRPr="00FB55EA" w:rsidTr="000A11F6">
        <w:trPr>
          <w:gridAfter w:val="1"/>
          <w:wAfter w:w="44" w:type="dxa"/>
        </w:trPr>
        <w:tc>
          <w:tcPr>
            <w:tcW w:w="218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27684512,0</w:t>
            </w: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  <w:sectPr w:rsidR="00FB55EA" w:rsidSect="007A1210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FB55EA" w:rsidRPr="00FB55EA" w:rsidTr="000A11F6">
        <w:tc>
          <w:tcPr>
            <w:tcW w:w="960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FB55EA" w:rsidRPr="00FB55EA" w:rsidTr="000A11F6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FB55EA" w:rsidRPr="00FB55EA" w:rsidTr="000A11F6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FB55E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55EA" w:rsidRPr="00FB55EA" w:rsidTr="000A11F6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                                                                                                                       </w:t>
      </w:r>
      <w:r w:rsidR="00BF7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А.С. Калмыкова</w:t>
      </w:r>
    </w:p>
    <w:p w:rsidR="00FB55EA" w:rsidRPr="00FB55EA" w:rsidRDefault="00FB55EA" w:rsidP="00FB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FB55EA" w:rsidRPr="00FB55EA" w:rsidTr="000A11F6">
        <w:tc>
          <w:tcPr>
            <w:tcW w:w="9889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FB55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B55EA" w:rsidRPr="00FB55EA" w:rsidRDefault="00FB55EA" w:rsidP="00FB55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B55E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FB55EA" w:rsidRPr="00FB55EA" w:rsidRDefault="00FB55EA" w:rsidP="00FB5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FB55EA" w:rsidRPr="00FB55EA" w:rsidTr="000A11F6">
        <w:tc>
          <w:tcPr>
            <w:tcW w:w="70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FB55EA" w:rsidRPr="00FB55EA" w:rsidTr="000A11F6">
        <w:trPr>
          <w:trHeight w:val="596"/>
        </w:trPr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10736000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10736000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FB55EA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бюджетного учреждения культуры «Центр народного творчества» Старощербиновского сельского поселения Щербиновского района»  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57080000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57080000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условий для организации массового отдыха и досуга жителей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МБУК ЦНТ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14270000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29920000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29920000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7480000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1.4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FB55EA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12464000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12464000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3106000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«Предоставление компенсационных выплат на возмещение расходов по оплате жилья, отопления и освещения отдельным категориям граждан,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578048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578048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«Укрепление материально-технической базы учреждений культуры и кинематографии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учреждений культуры и кинематографии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МБУК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обеспечение юридическими услугами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обеспечение антитеррористической защищенности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rPr>
          <w:trHeight w:val="111"/>
        </w:trPr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учреждений культуры и кинематографии Старощербиновского сельского поселения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№ 13 Обеспечение экологической безопасности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обеспечение экологической безопасности учреждений культуры 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13.2 обеспечение экологической безопасности муниципального казенного учреждения культуры «Детская библиотека»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</w:t>
            </w:r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МКУК «Детская библиотека»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</w:t>
            </w: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поселений</w:t>
            </w:r>
          </w:p>
        </w:tc>
      </w:tr>
      <w:tr w:rsidR="00933EC4" w:rsidRPr="00FB55EA" w:rsidTr="000A11F6">
        <w:tc>
          <w:tcPr>
            <w:tcW w:w="704" w:type="dxa"/>
            <w:vMerge w:val="restart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bookmarkStart w:id="3" w:name="_GoBack" w:colFirst="10" w:colLast="10"/>
            <w:r w:rsidRPr="00FB55EA">
              <w:rPr>
                <w:rFonts w:ascii="Times New Roman" w:eastAsia="Times New Roman" w:hAnsi="Times New Roman" w:cs="Times New Roman"/>
                <w:kern w:val="2"/>
              </w:rPr>
              <w:lastRenderedPageBreak/>
              <w:t>1.15.1</w:t>
            </w:r>
          </w:p>
        </w:tc>
        <w:tc>
          <w:tcPr>
            <w:tcW w:w="1701" w:type="dxa"/>
            <w:vMerge w:val="restart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bookmarkEnd w:id="3"/>
      <w:tr w:rsidR="00933EC4" w:rsidRPr="00FB55EA" w:rsidTr="000A11F6">
        <w:tc>
          <w:tcPr>
            <w:tcW w:w="70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128400</w:t>
            </w:r>
          </w:p>
        </w:tc>
        <w:tc>
          <w:tcPr>
            <w:tcW w:w="1559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933EC4" w:rsidRPr="00FB55EA" w:rsidTr="000A11F6">
        <w:tc>
          <w:tcPr>
            <w:tcW w:w="70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933EC4" w:rsidRPr="00FB55EA" w:rsidTr="000A11F6">
        <w:tc>
          <w:tcPr>
            <w:tcW w:w="70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933EC4" w:rsidRPr="00FB55EA" w:rsidTr="000A11F6">
        <w:tc>
          <w:tcPr>
            <w:tcW w:w="70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933EC4" w:rsidRPr="00FB55EA" w:rsidRDefault="00933EC4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111352742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111096342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2564000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rPr>
          <w:trHeight w:val="357"/>
        </w:trPr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FB55EA" w:rsidRPr="00FB55EA" w:rsidTr="000A11F6">
        <w:tc>
          <w:tcPr>
            <w:tcW w:w="70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B55EA">
              <w:rPr>
                <w:rFonts w:ascii="Times New Roman" w:eastAsia="Times New Roman" w:hAnsi="Times New Roman" w:cs="Times New Roman"/>
                <w:lang w:eastAsia="ar-SA"/>
              </w:rPr>
              <w:t>27684512</w:t>
            </w:r>
          </w:p>
        </w:tc>
        <w:tc>
          <w:tcPr>
            <w:tcW w:w="1134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FB55EA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55EA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FB55EA" w:rsidRPr="00FB55EA" w:rsidRDefault="00FB55EA" w:rsidP="00FB55EA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FB55EA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FB55EA">
        <w:rPr>
          <w:rFonts w:ascii="Times New Roman" w:eastAsia="Times New Roman" w:hAnsi="Times New Roman" w:cs="Times New Roman"/>
          <w:lang w:eastAsia="ar-SA"/>
        </w:rPr>
        <w:t>.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                                                                                           </w:t>
      </w:r>
      <w:r w:rsidR="00BF7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А.С. Калмыкова</w:t>
      </w: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p w:rsidR="00FB55EA" w:rsidRDefault="00FB55EA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FB55EA" w:rsidRPr="00FB55EA" w:rsidTr="000A11F6">
        <w:trPr>
          <w:trHeight w:val="2416"/>
        </w:trPr>
        <w:tc>
          <w:tcPr>
            <w:tcW w:w="9707" w:type="dxa"/>
          </w:tcPr>
          <w:p w:rsidR="00FB55EA" w:rsidRPr="00FB55EA" w:rsidRDefault="00FB55EA" w:rsidP="00FB55EA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E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FB55EA" w:rsidRPr="00FB55EA" w:rsidRDefault="00FB55EA" w:rsidP="00FB55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FB55EA" w:rsidRPr="00FB55EA" w:rsidRDefault="00FB55EA" w:rsidP="00FB5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FB55EA" w:rsidRPr="00FB55EA" w:rsidTr="000A11F6"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FB55EA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5EA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10349000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FB55EA" w:rsidRPr="00FB55EA" w:rsidTr="000A11F6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FB55EA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FB55EA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FB55EA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EA" w:rsidRPr="00FB55EA" w:rsidRDefault="00FB55EA" w:rsidP="00FB5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5EA">
              <w:rPr>
                <w:rFonts w:ascii="Times New Roman" w:eastAsia="Times New Roman" w:hAnsi="Times New Roman" w:cs="Times New Roman"/>
              </w:rPr>
              <w:t>7480000</w:t>
            </w:r>
          </w:p>
        </w:tc>
      </w:tr>
    </w:tbl>
    <w:p w:rsidR="00FB55EA" w:rsidRPr="00FB55EA" w:rsidRDefault="00FB55EA" w:rsidP="00FB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BF7FF3" w:rsidRDefault="00BF7FF3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FB55EA" w:rsidRPr="00FB55EA" w:rsidRDefault="00FB55EA" w:rsidP="00FB5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FB55EA" w:rsidRDefault="00FB55EA" w:rsidP="00BF7F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5E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sectPr w:rsidR="00FB55EA" w:rsidSect="00FB55EA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ED" w:rsidRDefault="00353FED" w:rsidP="00530D45">
      <w:pPr>
        <w:spacing w:after="0" w:line="240" w:lineRule="auto"/>
      </w:pPr>
      <w:r>
        <w:separator/>
      </w:r>
    </w:p>
  </w:endnote>
  <w:endnote w:type="continuationSeparator" w:id="0">
    <w:p w:rsidR="00353FED" w:rsidRDefault="00353FED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ED" w:rsidRDefault="00353FED" w:rsidP="00530D45">
      <w:pPr>
        <w:spacing w:after="0" w:line="240" w:lineRule="auto"/>
      </w:pPr>
      <w:r>
        <w:separator/>
      </w:r>
    </w:p>
  </w:footnote>
  <w:footnote w:type="continuationSeparator" w:id="0">
    <w:p w:rsidR="00353FED" w:rsidRDefault="00353FED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647648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513F"/>
    <w:rsid w:val="0006619B"/>
    <w:rsid w:val="00076A64"/>
    <w:rsid w:val="00092852"/>
    <w:rsid w:val="000A19C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1DFF"/>
    <w:rsid w:val="001C52FD"/>
    <w:rsid w:val="001F3635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04796"/>
    <w:rsid w:val="00310DE3"/>
    <w:rsid w:val="00317DB6"/>
    <w:rsid w:val="00336343"/>
    <w:rsid w:val="00337620"/>
    <w:rsid w:val="00340617"/>
    <w:rsid w:val="00353FED"/>
    <w:rsid w:val="00363AC6"/>
    <w:rsid w:val="003640CF"/>
    <w:rsid w:val="00365A06"/>
    <w:rsid w:val="00366FF6"/>
    <w:rsid w:val="00384022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0395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1C9F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F2CD3"/>
    <w:rsid w:val="00613FED"/>
    <w:rsid w:val="006209CB"/>
    <w:rsid w:val="00625828"/>
    <w:rsid w:val="00630BC0"/>
    <w:rsid w:val="00633EDD"/>
    <w:rsid w:val="00647648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6F8A"/>
    <w:rsid w:val="007C2BEC"/>
    <w:rsid w:val="007E1638"/>
    <w:rsid w:val="007E3C51"/>
    <w:rsid w:val="008063AE"/>
    <w:rsid w:val="008069FE"/>
    <w:rsid w:val="00811985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24A4D"/>
    <w:rsid w:val="00933EC4"/>
    <w:rsid w:val="00943FCD"/>
    <w:rsid w:val="009444AC"/>
    <w:rsid w:val="009465F9"/>
    <w:rsid w:val="00961EBF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32CBC"/>
    <w:rsid w:val="00A35FB0"/>
    <w:rsid w:val="00A363B4"/>
    <w:rsid w:val="00A40EAE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76F5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BF7FF3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828E4"/>
    <w:rsid w:val="00FB55EA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A932A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unhideWhenUsed/>
    <w:rsid w:val="00304796"/>
  </w:style>
  <w:style w:type="character" w:styleId="ab">
    <w:name w:val="Hyperlink"/>
    <w:rsid w:val="00304796"/>
    <w:rPr>
      <w:color w:val="0563C1"/>
      <w:u w:val="single"/>
    </w:rPr>
  </w:style>
  <w:style w:type="paragraph" w:customStyle="1" w:styleId="ac">
    <w:name w:val="Содержимое таблицы"/>
    <w:basedOn w:val="a"/>
    <w:rsid w:val="0030479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0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047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basedOn w:val="a"/>
    <w:next w:val="ae"/>
    <w:uiPriority w:val="99"/>
    <w:unhideWhenUsed/>
    <w:rsid w:val="0030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30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FB55EA"/>
  </w:style>
  <w:style w:type="table" w:customStyle="1" w:styleId="10">
    <w:name w:val="Сетка таблицы1"/>
    <w:basedOn w:val="a1"/>
    <w:next w:val="af"/>
    <w:rsid w:val="00FB55E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FB55E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%2011.08.2025\&#1052;&#1059;&#1053;&#1048;&#1062;&#1048;&#1055;&#1040;&#1051;&#1068;&#1053;&#1067;&#1045;%20&#1055;&#1056;&#1040;&#1042;&#1054;&#1042;&#1067;&#1045;%20&#1040;&#1050;&#1058;&#1067;\&#1055;&#1086;&#1089;&#1090;&#1072;&#1085;&#1086;&#1074;&#1083;&#1077;&#1085;&#1080;&#1103;%20&#1079;&#1072;%202025%20&#1075;&#1086;&#1076;\&#1052;&#1055;%20&#1056;&#1072;&#1079;&#1074;&#1080;&#1090;&#1080;&#1077;%20&#1082;&#1091;&#1083;&#1100;&#1090;&#1091;&#1088;&#1099;%20(&#1085;&#1086;&#1074;&#1072;&#1103;%20&#1092;&#1086;&#1088;&#1084;&#1072;)%20(&#1080;&#1079;&#1084;.3)\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0E87-3442-420E-B58C-97669E46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48</Pages>
  <Words>11235</Words>
  <Characters>64046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6</cp:revision>
  <cp:lastPrinted>2025-09-12T11:14:00Z</cp:lastPrinted>
  <dcterms:created xsi:type="dcterms:W3CDTF">2025-09-15T06:05:00Z</dcterms:created>
  <dcterms:modified xsi:type="dcterms:W3CDTF">2025-10-20T05:13:00Z</dcterms:modified>
</cp:coreProperties>
</file>