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F171F" w:rsidRDefault="000F171F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877800" w:rsidRDefault="0087780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5137">
        <w:rPr>
          <w:rFonts w:ascii="Montserrat" w:hAnsi="Montserrat"/>
          <w:b w:val="0"/>
          <w:sz w:val="16"/>
          <w:szCs w:val="16"/>
        </w:rPr>
        <w:t>02</w:t>
      </w:r>
      <w:r w:rsidR="0074433A">
        <w:rPr>
          <w:rFonts w:ascii="Montserrat" w:hAnsi="Montserrat"/>
          <w:b w:val="0"/>
          <w:sz w:val="16"/>
          <w:szCs w:val="16"/>
        </w:rPr>
        <w:t>.12</w:t>
      </w:r>
      <w:r>
        <w:rPr>
          <w:rFonts w:ascii="Montserrat" w:hAnsi="Montserrat"/>
          <w:b w:val="0"/>
          <w:sz w:val="16"/>
          <w:szCs w:val="16"/>
        </w:rPr>
        <w:t>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B05137" w:rsidRPr="000F171F" w:rsidRDefault="00B05137" w:rsidP="000F171F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0F171F">
        <w:rPr>
          <w:rFonts w:ascii="Montserrat" w:hAnsi="Montserrat"/>
          <w:b/>
          <w:szCs w:val="28"/>
        </w:rPr>
        <w:t xml:space="preserve">Более 400 тысяч жителей Кубани с инвалидностью получают поддержку </w:t>
      </w:r>
      <w:r w:rsidR="000F171F" w:rsidRPr="000F171F">
        <w:rPr>
          <w:rFonts w:ascii="Montserrat" w:hAnsi="Montserrat"/>
          <w:b/>
          <w:szCs w:val="28"/>
        </w:rPr>
        <w:t>от Отделения</w:t>
      </w:r>
      <w:r w:rsidRPr="000F171F">
        <w:rPr>
          <w:rFonts w:ascii="Montserrat" w:hAnsi="Montserrat"/>
          <w:b/>
          <w:szCs w:val="28"/>
        </w:rPr>
        <w:t xml:space="preserve"> Социального фонда России</w:t>
      </w:r>
      <w:r w:rsidR="000F171F" w:rsidRPr="000F171F">
        <w:rPr>
          <w:rFonts w:ascii="Montserrat" w:hAnsi="Montserrat"/>
          <w:b/>
          <w:szCs w:val="28"/>
        </w:rPr>
        <w:t xml:space="preserve"> по Краснодарскому краю</w:t>
      </w:r>
    </w:p>
    <w:p w:rsidR="000F171F" w:rsidRPr="00B05137" w:rsidRDefault="000F171F" w:rsidP="00B05137">
      <w:pPr>
        <w:spacing w:line="360" w:lineRule="auto"/>
        <w:jc w:val="both"/>
        <w:rPr>
          <w:rFonts w:ascii="Montserrat" w:hAnsi="Montserrat"/>
          <w:szCs w:val="28"/>
        </w:rPr>
      </w:pPr>
    </w:p>
    <w:p w:rsidR="00B05137" w:rsidRPr="00B05137" w:rsidRDefault="00B05137" w:rsidP="00B05137">
      <w:pPr>
        <w:spacing w:line="360" w:lineRule="auto"/>
        <w:jc w:val="both"/>
        <w:rPr>
          <w:rFonts w:ascii="Montserrat" w:hAnsi="Montserrat"/>
          <w:szCs w:val="28"/>
        </w:rPr>
      </w:pPr>
      <w:r w:rsidRPr="00B05137">
        <w:rPr>
          <w:rFonts w:ascii="Montserrat" w:hAnsi="Montserrat"/>
          <w:szCs w:val="28"/>
        </w:rPr>
        <w:t>3 декабря во всём мире отмечается Международный день инвалидов. В России, как и в большинстве стран, люди с инвалидностью могут рассчитывать на комплекс государственных льгот и мер социальной поддержки. Значительную часть этих услуг предоставляет Отделение Социального фонда России по Краснодарскому краю.</w:t>
      </w:r>
    </w:p>
    <w:p w:rsidR="000F171F" w:rsidRDefault="000F171F" w:rsidP="00B05137">
      <w:pPr>
        <w:spacing w:line="360" w:lineRule="auto"/>
        <w:jc w:val="both"/>
        <w:rPr>
          <w:rFonts w:ascii="Montserrat" w:hAnsi="Montserrat"/>
          <w:szCs w:val="28"/>
        </w:rPr>
      </w:pPr>
    </w:p>
    <w:p w:rsidR="000F171F" w:rsidRDefault="00B05137" w:rsidP="00B05137">
      <w:pPr>
        <w:spacing w:line="360" w:lineRule="auto"/>
        <w:jc w:val="both"/>
        <w:rPr>
          <w:rFonts w:ascii="Montserrat" w:hAnsi="Montserrat"/>
          <w:szCs w:val="28"/>
        </w:rPr>
      </w:pPr>
      <w:r w:rsidRPr="00B05137">
        <w:rPr>
          <w:rFonts w:ascii="Montserrat" w:hAnsi="Montserrat"/>
          <w:szCs w:val="28"/>
        </w:rPr>
        <w:t>Одной из ключевых услуг</w:t>
      </w:r>
      <w:r w:rsidR="000F171F">
        <w:rPr>
          <w:rFonts w:ascii="Montserrat" w:hAnsi="Montserrat"/>
          <w:szCs w:val="28"/>
        </w:rPr>
        <w:t xml:space="preserve"> регионального</w:t>
      </w:r>
      <w:r w:rsidRPr="00B05137">
        <w:rPr>
          <w:rFonts w:ascii="Montserrat" w:hAnsi="Montserrat"/>
          <w:szCs w:val="28"/>
        </w:rPr>
        <w:t xml:space="preserve"> Отделения СФР для людей с инвалидностью является назначение</w:t>
      </w:r>
      <w:r w:rsidR="00AB7042">
        <w:rPr>
          <w:rFonts w:ascii="Montserrat" w:hAnsi="Montserrat"/>
          <w:szCs w:val="28"/>
        </w:rPr>
        <w:t xml:space="preserve"> одной из</w:t>
      </w:r>
      <w:r w:rsidRPr="00B05137">
        <w:rPr>
          <w:rFonts w:ascii="Montserrat" w:hAnsi="Montserrat"/>
          <w:szCs w:val="28"/>
        </w:rPr>
        <w:t xml:space="preserve"> трёх видов пенсий: страхово</w:t>
      </w:r>
      <w:r w:rsidR="000F171F">
        <w:rPr>
          <w:rFonts w:ascii="Montserrat" w:hAnsi="Montserrat"/>
          <w:szCs w:val="28"/>
        </w:rPr>
        <w:t xml:space="preserve">й, государственной и социальной. </w:t>
      </w:r>
    </w:p>
    <w:p w:rsidR="000F171F" w:rsidRDefault="000F171F" w:rsidP="00B05137">
      <w:pPr>
        <w:spacing w:line="360" w:lineRule="auto"/>
        <w:jc w:val="both"/>
        <w:rPr>
          <w:rFonts w:ascii="Montserrat" w:hAnsi="Montserrat"/>
          <w:szCs w:val="28"/>
        </w:rPr>
      </w:pPr>
    </w:p>
    <w:p w:rsidR="000F171F" w:rsidRDefault="00B05137" w:rsidP="00B05137">
      <w:pPr>
        <w:spacing w:line="360" w:lineRule="auto"/>
        <w:jc w:val="both"/>
        <w:rPr>
          <w:rFonts w:ascii="Montserrat" w:hAnsi="Montserrat"/>
          <w:szCs w:val="28"/>
        </w:rPr>
      </w:pPr>
      <w:r w:rsidRPr="00B05137">
        <w:rPr>
          <w:rFonts w:ascii="Montserrat" w:hAnsi="Montserrat"/>
          <w:szCs w:val="28"/>
        </w:rPr>
        <w:t>Страховая пенсия оформляется при наличии хотя бы одного дня трудового стажа.</w:t>
      </w:r>
      <w:r w:rsidR="000F171F">
        <w:rPr>
          <w:rFonts w:ascii="Montserrat" w:hAnsi="Montserrat"/>
          <w:szCs w:val="28"/>
        </w:rPr>
        <w:t xml:space="preserve"> </w:t>
      </w:r>
    </w:p>
    <w:p w:rsidR="000F171F" w:rsidRDefault="000F171F" w:rsidP="00B05137">
      <w:pPr>
        <w:spacing w:line="360" w:lineRule="auto"/>
        <w:jc w:val="both"/>
        <w:rPr>
          <w:rFonts w:ascii="Montserrat" w:hAnsi="Montserrat"/>
          <w:szCs w:val="28"/>
        </w:rPr>
      </w:pPr>
    </w:p>
    <w:p w:rsidR="000F171F" w:rsidRDefault="00B05137" w:rsidP="00B05137">
      <w:pPr>
        <w:spacing w:line="360" w:lineRule="auto"/>
        <w:jc w:val="both"/>
        <w:rPr>
          <w:rFonts w:ascii="Montserrat" w:hAnsi="Montserrat"/>
          <w:szCs w:val="28"/>
        </w:rPr>
      </w:pPr>
      <w:r w:rsidRPr="00B05137">
        <w:rPr>
          <w:rFonts w:ascii="Montserrat" w:hAnsi="Montserrat"/>
          <w:szCs w:val="28"/>
        </w:rPr>
        <w:t>Социальная пенсия назначается тем, кто не имеет трудового стажа. Почти половина её получателей — дети или люди, получившие инвалидность в детстве.</w:t>
      </w:r>
      <w:r w:rsidR="000F171F">
        <w:rPr>
          <w:rFonts w:ascii="Montserrat" w:hAnsi="Montserrat"/>
          <w:szCs w:val="28"/>
        </w:rPr>
        <w:t xml:space="preserve"> </w:t>
      </w:r>
    </w:p>
    <w:p w:rsidR="000F171F" w:rsidRDefault="000F171F" w:rsidP="00B05137">
      <w:pPr>
        <w:spacing w:line="360" w:lineRule="auto"/>
        <w:jc w:val="both"/>
        <w:rPr>
          <w:rFonts w:ascii="Montserrat" w:hAnsi="Montserrat"/>
          <w:szCs w:val="28"/>
        </w:rPr>
      </w:pPr>
    </w:p>
    <w:p w:rsidR="00B05137" w:rsidRDefault="00B05137" w:rsidP="00B05137">
      <w:pPr>
        <w:spacing w:line="360" w:lineRule="auto"/>
        <w:jc w:val="both"/>
        <w:rPr>
          <w:rFonts w:ascii="Montserrat" w:hAnsi="Montserrat"/>
          <w:szCs w:val="28"/>
        </w:rPr>
      </w:pPr>
      <w:r w:rsidRPr="00B05137">
        <w:rPr>
          <w:rFonts w:ascii="Montserrat" w:hAnsi="Montserrat"/>
          <w:szCs w:val="28"/>
        </w:rPr>
        <w:t>Государственная пенсия предоставляется тем, чья инвалидность связана с военной службой, подготовкой к космическим полётам, радиационными или техногенными катастрофами.</w:t>
      </w:r>
    </w:p>
    <w:p w:rsidR="000F171F" w:rsidRPr="00B05137" w:rsidRDefault="000F171F" w:rsidP="00B05137">
      <w:pPr>
        <w:spacing w:line="360" w:lineRule="auto"/>
        <w:jc w:val="both"/>
        <w:rPr>
          <w:rFonts w:ascii="Montserrat" w:hAnsi="Montserrat"/>
          <w:szCs w:val="28"/>
        </w:rPr>
      </w:pPr>
    </w:p>
    <w:p w:rsidR="00B05137" w:rsidRPr="00B05137" w:rsidRDefault="00B05137" w:rsidP="00B05137">
      <w:pPr>
        <w:spacing w:line="360" w:lineRule="auto"/>
        <w:jc w:val="both"/>
        <w:rPr>
          <w:rFonts w:ascii="Montserrat" w:hAnsi="Montserrat"/>
          <w:szCs w:val="28"/>
        </w:rPr>
      </w:pPr>
      <w:r w:rsidRPr="00B05137">
        <w:rPr>
          <w:rFonts w:ascii="Montserrat" w:hAnsi="Montserrat"/>
          <w:szCs w:val="28"/>
        </w:rPr>
        <w:t>При достижении пенсионного возраста и наличии необходимых</w:t>
      </w:r>
      <w:r w:rsidR="000F171F">
        <w:rPr>
          <w:rFonts w:ascii="Montserrat" w:hAnsi="Montserrat"/>
          <w:szCs w:val="28"/>
        </w:rPr>
        <w:t xml:space="preserve"> индивидуальных</w:t>
      </w:r>
      <w:r w:rsidRPr="00B05137">
        <w:rPr>
          <w:rFonts w:ascii="Montserrat" w:hAnsi="Montserrat"/>
          <w:szCs w:val="28"/>
        </w:rPr>
        <w:t xml:space="preserve"> пенсионных коэффициентов и стажа получатели страховой или социальной пенсии по инвалидности могут перейти на пенсию по старости — в равном или более высоком размере. Люди с военной травмой и </w:t>
      </w:r>
      <w:r w:rsidRPr="00B05137">
        <w:rPr>
          <w:rFonts w:ascii="Montserrat" w:hAnsi="Montserrat"/>
          <w:szCs w:val="28"/>
        </w:rPr>
        <w:lastRenderedPageBreak/>
        <w:t>инвалиды Великой Отечественной войны имеют право на две пенсии одновременно: страховую по старости и государственную по инвалидности.</w:t>
      </w:r>
    </w:p>
    <w:p w:rsidR="000F171F" w:rsidRDefault="000F171F" w:rsidP="00B05137">
      <w:pPr>
        <w:spacing w:line="360" w:lineRule="auto"/>
        <w:jc w:val="both"/>
        <w:rPr>
          <w:rFonts w:ascii="Montserrat" w:hAnsi="Montserrat"/>
          <w:szCs w:val="28"/>
        </w:rPr>
      </w:pPr>
    </w:p>
    <w:p w:rsidR="000F171F" w:rsidRDefault="00B05137" w:rsidP="00B05137">
      <w:pPr>
        <w:spacing w:line="360" w:lineRule="auto"/>
        <w:jc w:val="both"/>
        <w:rPr>
          <w:rFonts w:ascii="Montserrat" w:hAnsi="Montserrat"/>
          <w:szCs w:val="28"/>
        </w:rPr>
      </w:pPr>
      <w:r w:rsidRPr="00B05137">
        <w:rPr>
          <w:rFonts w:ascii="Montserrat" w:hAnsi="Montserrat"/>
          <w:szCs w:val="28"/>
        </w:rPr>
        <w:t>Помимо пенсий, Отделение СФР по Краснодарскому краю предоставляет людям с инвалидностью ежемесячные денежные выплаты (ЕДВ), размер которых зависит от группы инвалидности. Получатели ЕДВ также имеют право на набор социальных услуг, включающий лекарства, медицинские изделия, санаторно-курортное лечение и проезд к месту лечения. При необходимости набор социальных услуг можно заменить денежной компенсацией.</w:t>
      </w:r>
    </w:p>
    <w:p w:rsidR="000F171F" w:rsidRDefault="000F171F" w:rsidP="00B05137">
      <w:pPr>
        <w:spacing w:line="360" w:lineRule="auto"/>
        <w:jc w:val="both"/>
        <w:rPr>
          <w:rFonts w:ascii="Montserrat" w:hAnsi="Montserrat"/>
          <w:szCs w:val="28"/>
        </w:rPr>
      </w:pPr>
    </w:p>
    <w:p w:rsidR="00B05137" w:rsidRPr="00B05137" w:rsidRDefault="00B05137" w:rsidP="00B05137">
      <w:pPr>
        <w:spacing w:line="360" w:lineRule="auto"/>
        <w:jc w:val="both"/>
        <w:rPr>
          <w:rFonts w:ascii="Montserrat" w:hAnsi="Montserrat"/>
          <w:szCs w:val="28"/>
        </w:rPr>
      </w:pPr>
      <w:r w:rsidRPr="00B05137">
        <w:rPr>
          <w:rFonts w:ascii="Montserrat" w:hAnsi="Montserrat"/>
          <w:szCs w:val="28"/>
        </w:rPr>
        <w:t>С 1 января 2025 года людям с инвалидностью I группы или достигшим 80 лет автоматически устанавливается надбавка к пенсии на уход. Её размер составляет:</w:t>
      </w:r>
      <w:r w:rsidR="000F171F">
        <w:rPr>
          <w:rFonts w:ascii="Montserrat" w:hAnsi="Montserrat"/>
          <w:szCs w:val="28"/>
        </w:rPr>
        <w:t xml:space="preserve"> 1 </w:t>
      </w:r>
      <w:r w:rsidRPr="00B05137">
        <w:rPr>
          <w:rFonts w:ascii="Montserrat" w:hAnsi="Montserrat"/>
          <w:szCs w:val="28"/>
        </w:rPr>
        <w:t>314 рублей — для получателей страховой пенсии;</w:t>
      </w:r>
      <w:r w:rsidR="000F171F">
        <w:rPr>
          <w:rFonts w:ascii="Montserrat" w:hAnsi="Montserrat"/>
          <w:szCs w:val="28"/>
        </w:rPr>
        <w:t xml:space="preserve"> 1 </w:t>
      </w:r>
      <w:r w:rsidRPr="00B05137">
        <w:rPr>
          <w:rFonts w:ascii="Montserrat" w:hAnsi="Montserrat"/>
          <w:szCs w:val="28"/>
        </w:rPr>
        <w:t>377 рублей — для получателей государственной пенсии.</w:t>
      </w:r>
    </w:p>
    <w:p w:rsidR="000F171F" w:rsidRDefault="000F171F" w:rsidP="00B05137">
      <w:pPr>
        <w:spacing w:line="360" w:lineRule="auto"/>
        <w:jc w:val="both"/>
        <w:rPr>
          <w:rFonts w:ascii="Montserrat" w:hAnsi="Montserrat"/>
          <w:szCs w:val="28"/>
        </w:rPr>
      </w:pPr>
    </w:p>
    <w:p w:rsidR="00B05137" w:rsidRPr="00B05137" w:rsidRDefault="000F171F" w:rsidP="00B05137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Региональное </w:t>
      </w:r>
      <w:r w:rsidR="00B05137" w:rsidRPr="00B05137">
        <w:rPr>
          <w:rFonts w:ascii="Montserrat" w:hAnsi="Montserrat"/>
          <w:szCs w:val="28"/>
        </w:rPr>
        <w:t>Отделение СФР обеспечивает людей с инвалидностью техническими средствами реабилитации</w:t>
      </w:r>
      <w:r>
        <w:rPr>
          <w:rFonts w:ascii="Montserrat" w:hAnsi="Montserrat"/>
          <w:szCs w:val="28"/>
        </w:rPr>
        <w:t xml:space="preserve"> (ТСР)</w:t>
      </w:r>
      <w:r w:rsidR="00B05137" w:rsidRPr="00B05137">
        <w:rPr>
          <w:rFonts w:ascii="Montserrat" w:hAnsi="Montserrat"/>
          <w:szCs w:val="28"/>
        </w:rPr>
        <w:t>: тростями, костылями, креслами-колясками, протезами, ортопедической обувью, абсорбирующим бельём и другими необходимыми изделиями. Тем, кому транспортное средство необходимо по медицинским показаниям, предоставляется компенсация половины стоимости страховки ОСАГО. Кроме того, зарегистрировав транспорт в Федеральном реестре инвалидов, можно воспользоваться правом на бесплатную парковку.</w:t>
      </w:r>
    </w:p>
    <w:p w:rsidR="000F171F" w:rsidRDefault="000F171F" w:rsidP="00B05137">
      <w:pPr>
        <w:spacing w:line="360" w:lineRule="auto"/>
        <w:jc w:val="both"/>
        <w:rPr>
          <w:rFonts w:ascii="Montserrat" w:hAnsi="Montserrat"/>
          <w:szCs w:val="28"/>
        </w:rPr>
      </w:pPr>
    </w:p>
    <w:p w:rsidR="000F171F" w:rsidRDefault="00B05137" w:rsidP="00B05137">
      <w:pPr>
        <w:spacing w:line="360" w:lineRule="auto"/>
        <w:jc w:val="both"/>
        <w:rPr>
          <w:rFonts w:ascii="Montserrat" w:hAnsi="Montserrat"/>
          <w:szCs w:val="28"/>
        </w:rPr>
      </w:pPr>
      <w:r w:rsidRPr="00B05137">
        <w:rPr>
          <w:rFonts w:ascii="Montserrat" w:hAnsi="Montserrat"/>
          <w:szCs w:val="28"/>
        </w:rPr>
        <w:t>Отделение СФР</w:t>
      </w:r>
      <w:r w:rsidR="00095389">
        <w:rPr>
          <w:rFonts w:ascii="Montserrat" w:hAnsi="Montserrat"/>
          <w:szCs w:val="28"/>
        </w:rPr>
        <w:t xml:space="preserve"> по К</w:t>
      </w:r>
      <w:r w:rsidR="000F171F">
        <w:rPr>
          <w:rFonts w:ascii="Montserrat" w:hAnsi="Montserrat"/>
          <w:szCs w:val="28"/>
        </w:rPr>
        <w:t xml:space="preserve">раснодарскому краю </w:t>
      </w:r>
      <w:r w:rsidRPr="00B05137">
        <w:rPr>
          <w:rFonts w:ascii="Montserrat" w:hAnsi="Montserrat"/>
          <w:szCs w:val="28"/>
        </w:rPr>
        <w:t xml:space="preserve"> также оказывает поддержку тем, кто ухаживает за людьми с инвалидностью. Например, неработающим трудоспособным гражданам,</w:t>
      </w:r>
      <w:r w:rsidR="000F171F">
        <w:rPr>
          <w:rFonts w:ascii="Montserrat" w:hAnsi="Montserrat"/>
          <w:szCs w:val="28"/>
        </w:rPr>
        <w:t xml:space="preserve"> родителям или опекунам,</w:t>
      </w:r>
      <w:r w:rsidRPr="00B05137">
        <w:rPr>
          <w:rFonts w:ascii="Montserrat" w:hAnsi="Montserrat"/>
          <w:szCs w:val="28"/>
        </w:rPr>
        <w:t xml:space="preserve"> ухаживающим за детьми-инвалидами или инвалидами с детства I группы, выплачивается 10</w:t>
      </w:r>
      <w:r w:rsidR="000F171F">
        <w:rPr>
          <w:rFonts w:ascii="Montserrat" w:hAnsi="Montserrat"/>
          <w:szCs w:val="28"/>
        </w:rPr>
        <w:t> </w:t>
      </w:r>
      <w:r w:rsidRPr="00B05137">
        <w:rPr>
          <w:rFonts w:ascii="Montserrat" w:hAnsi="Montserrat"/>
          <w:szCs w:val="28"/>
        </w:rPr>
        <w:t xml:space="preserve">950 рублей ежемесячно. Родители детей с инвалидностью имеют право на четыре дополнительных оплачиваемых выходных дня в месяц, которые можно использовать для посещения врачей, обследований или получения лекарств. </w:t>
      </w:r>
    </w:p>
    <w:p w:rsidR="00B05137" w:rsidRPr="00B05137" w:rsidRDefault="00B05137" w:rsidP="00B05137">
      <w:pPr>
        <w:spacing w:line="360" w:lineRule="auto"/>
        <w:jc w:val="both"/>
        <w:rPr>
          <w:rFonts w:ascii="Montserrat" w:hAnsi="Montserrat"/>
          <w:szCs w:val="28"/>
        </w:rPr>
      </w:pPr>
      <w:r w:rsidRPr="00B05137">
        <w:rPr>
          <w:rFonts w:ascii="Montserrat" w:hAnsi="Montserrat"/>
          <w:szCs w:val="28"/>
        </w:rPr>
        <w:lastRenderedPageBreak/>
        <w:t>Семьи, имеющие сертификат на материнский капитал, могут направить его средства на социальную адаптацию и интеграцию детей с инвалидностью</w:t>
      </w:r>
      <w:r w:rsidR="000F171F">
        <w:rPr>
          <w:rFonts w:ascii="Montserrat" w:hAnsi="Montserrat"/>
          <w:szCs w:val="28"/>
        </w:rPr>
        <w:t xml:space="preserve"> в общество</w:t>
      </w:r>
      <w:r w:rsidRPr="00B05137">
        <w:rPr>
          <w:rFonts w:ascii="Montserrat" w:hAnsi="Montserrat"/>
          <w:szCs w:val="28"/>
        </w:rPr>
        <w:t>.</w:t>
      </w:r>
    </w:p>
    <w:p w:rsidR="000F171F" w:rsidRDefault="000F171F" w:rsidP="00B05137">
      <w:pPr>
        <w:spacing w:line="360" w:lineRule="auto"/>
        <w:jc w:val="both"/>
        <w:rPr>
          <w:rFonts w:ascii="Montserrat" w:hAnsi="Montserrat"/>
          <w:szCs w:val="28"/>
        </w:rPr>
      </w:pPr>
    </w:p>
    <w:p w:rsidR="00F44C8C" w:rsidRDefault="00F44C8C" w:rsidP="00B05137">
      <w:pPr>
        <w:spacing w:line="360" w:lineRule="auto"/>
        <w:jc w:val="both"/>
        <w:rPr>
          <w:rFonts w:ascii="Montserrat" w:hAnsi="Montserrat"/>
          <w:szCs w:val="28"/>
        </w:rPr>
      </w:pPr>
      <w:r w:rsidRPr="00B05137">
        <w:rPr>
          <w:rFonts w:ascii="Montserrat" w:hAnsi="Montserrat"/>
          <w:szCs w:val="28"/>
        </w:rPr>
        <w:t xml:space="preserve">Для бизнеса предусмотрены субсидии на оборудование рабочих мест для трудоустройства людей с инвалидностью — до 200 тысяч рублей на одно рабочее место. </w:t>
      </w:r>
    </w:p>
    <w:p w:rsidR="00F44C8C" w:rsidRDefault="00F44C8C" w:rsidP="00B05137">
      <w:pPr>
        <w:spacing w:line="360" w:lineRule="auto"/>
        <w:jc w:val="both"/>
        <w:rPr>
          <w:rFonts w:ascii="Montserrat" w:hAnsi="Montserrat"/>
          <w:szCs w:val="28"/>
        </w:rPr>
      </w:pPr>
    </w:p>
    <w:p w:rsidR="00662047" w:rsidRDefault="00B05137" w:rsidP="00B05137">
      <w:pPr>
        <w:spacing w:line="360" w:lineRule="auto"/>
        <w:jc w:val="both"/>
        <w:rPr>
          <w:rFonts w:ascii="Montserrat" w:hAnsi="Montserrat"/>
          <w:szCs w:val="28"/>
        </w:rPr>
      </w:pPr>
      <w:r w:rsidRPr="00B05137">
        <w:rPr>
          <w:rFonts w:ascii="Montserrat" w:hAnsi="Montserrat"/>
          <w:szCs w:val="28"/>
        </w:rPr>
        <w:t xml:space="preserve">Большинство выплат и льгот назначаются автоматически — без заявления, на основании данных медицинского освидетельствования. Продление выплат также происходит </w:t>
      </w:r>
      <w:proofErr w:type="spellStart"/>
      <w:r w:rsidRPr="00B05137">
        <w:rPr>
          <w:rFonts w:ascii="Montserrat" w:hAnsi="Montserrat"/>
          <w:szCs w:val="28"/>
        </w:rPr>
        <w:t>беззаявительно</w:t>
      </w:r>
      <w:proofErr w:type="spellEnd"/>
      <w:r w:rsidRPr="00B05137">
        <w:rPr>
          <w:rFonts w:ascii="Montserrat" w:hAnsi="Montserrat"/>
          <w:szCs w:val="28"/>
        </w:rPr>
        <w:t>, после обновления информации в государственных системах.</w:t>
      </w:r>
    </w:p>
    <w:p w:rsidR="006A0D15" w:rsidRPr="00B05137" w:rsidRDefault="006A0D15" w:rsidP="00B05137">
      <w:pPr>
        <w:spacing w:line="360" w:lineRule="auto"/>
        <w:jc w:val="both"/>
        <w:rPr>
          <w:rFonts w:ascii="Montserrat" w:hAnsi="Montserrat"/>
        </w:rPr>
      </w:pPr>
    </w:p>
    <w:p w:rsidR="002304E3" w:rsidRPr="00B05137" w:rsidRDefault="002304E3" w:rsidP="002304E3">
      <w:pPr>
        <w:spacing w:line="360" w:lineRule="auto"/>
        <w:jc w:val="both"/>
        <w:rPr>
          <w:rFonts w:ascii="Montserrat" w:hAnsi="Montserrat"/>
        </w:rPr>
      </w:pPr>
      <w:r w:rsidRPr="00B05137"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304E3" w:rsidRDefault="002304E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A6576" w:rsidRPr="003551D6" w:rsidRDefault="00EA6576" w:rsidP="00EA6576">
      <w:pPr>
        <w:pStyle w:val="afe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33935FF" wp14:editId="14D931C9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B579DB2" wp14:editId="1B499FEA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2889D5C" wp14:editId="7E09CBF4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8E24175" wp14:editId="7AF5FC0B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D32A55" wp14:editId="450BCDEE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58" w:rsidRDefault="009C7F58">
      <w:pPr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17301F" w:rsidRDefault="0017301F">
      <w:pPr>
        <w:jc w:val="right"/>
        <w:rPr>
          <w:rFonts w:ascii="Montserrat" w:hAnsi="Montserrat"/>
          <w:b/>
          <w:sz w:val="16"/>
          <w:szCs w:val="16"/>
        </w:rPr>
      </w:pPr>
    </w:p>
    <w:p w:rsidR="006A0D15" w:rsidRDefault="006A0D15">
      <w:pPr>
        <w:jc w:val="right"/>
        <w:rPr>
          <w:rFonts w:ascii="Montserrat" w:hAnsi="Montserrat"/>
          <w:b/>
          <w:sz w:val="16"/>
          <w:szCs w:val="16"/>
        </w:rPr>
      </w:pPr>
    </w:p>
    <w:p w:rsidR="006A0D15" w:rsidRDefault="006A0D15">
      <w:pPr>
        <w:jc w:val="right"/>
        <w:rPr>
          <w:rFonts w:ascii="Montserrat" w:hAnsi="Montserrat"/>
          <w:b/>
          <w:sz w:val="16"/>
          <w:szCs w:val="16"/>
        </w:rPr>
      </w:pPr>
    </w:p>
    <w:p w:rsidR="006A0D15" w:rsidRDefault="006A0D15">
      <w:pPr>
        <w:jc w:val="right"/>
        <w:rPr>
          <w:rFonts w:ascii="Montserrat" w:hAnsi="Montserrat"/>
          <w:b/>
          <w:sz w:val="16"/>
          <w:szCs w:val="16"/>
        </w:rPr>
      </w:pPr>
    </w:p>
    <w:p w:rsidR="00F44C8C" w:rsidRDefault="00F44C8C">
      <w:pPr>
        <w:jc w:val="right"/>
        <w:rPr>
          <w:rFonts w:ascii="Montserrat" w:hAnsi="Montserrat"/>
          <w:b/>
          <w:sz w:val="16"/>
          <w:szCs w:val="16"/>
        </w:rPr>
      </w:pPr>
    </w:p>
    <w:p w:rsidR="006A0D15" w:rsidRDefault="006A0D15">
      <w:pPr>
        <w:jc w:val="right"/>
        <w:rPr>
          <w:rFonts w:ascii="Montserrat" w:hAnsi="Montserrat"/>
          <w:b/>
          <w:sz w:val="16"/>
          <w:szCs w:val="16"/>
        </w:rPr>
      </w:pPr>
    </w:p>
    <w:p w:rsidR="006A0D15" w:rsidRDefault="006A0D15">
      <w:pPr>
        <w:jc w:val="right"/>
        <w:rPr>
          <w:rFonts w:ascii="Montserrat" w:hAnsi="Montserrat"/>
          <w:b/>
          <w:sz w:val="16"/>
          <w:szCs w:val="16"/>
        </w:rPr>
      </w:pPr>
    </w:p>
    <w:p w:rsidR="006A0D15" w:rsidRDefault="006A0D15">
      <w:pPr>
        <w:jc w:val="right"/>
        <w:rPr>
          <w:rFonts w:ascii="Montserrat" w:hAnsi="Montserrat"/>
          <w:b/>
          <w:sz w:val="16"/>
          <w:szCs w:val="16"/>
        </w:rPr>
      </w:pPr>
    </w:p>
    <w:p w:rsidR="006A0D15" w:rsidRDefault="006A0D15">
      <w:pPr>
        <w:jc w:val="right"/>
        <w:rPr>
          <w:rFonts w:ascii="Montserrat" w:hAnsi="Montserrat"/>
          <w:b/>
          <w:sz w:val="16"/>
          <w:szCs w:val="16"/>
        </w:rPr>
      </w:pPr>
    </w:p>
    <w:p w:rsidR="00583BDA" w:rsidRPr="00B93241" w:rsidRDefault="00583BDA" w:rsidP="00662047">
      <w:pPr>
        <w:pStyle w:val="afe"/>
        <w:spacing w:before="0" w:beforeAutospacing="0" w:after="0" w:afterAutospacing="0"/>
        <w:ind w:left="5664" w:firstLine="708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</w:p>
    <w:sectPr w:rsidR="00583BDA" w:rsidRPr="00B93241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1F" w:rsidRDefault="000F171F">
      <w:r>
        <w:separator/>
      </w:r>
    </w:p>
  </w:endnote>
  <w:endnote w:type="continuationSeparator" w:id="0">
    <w:p w:rsidR="000F171F" w:rsidRDefault="000F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1F" w:rsidRDefault="000F171F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0F171F" w:rsidRDefault="000F171F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1F" w:rsidRDefault="000F171F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1F" w:rsidRDefault="000F171F">
      <w:r>
        <w:separator/>
      </w:r>
    </w:p>
  </w:footnote>
  <w:footnote w:type="continuationSeparator" w:id="0">
    <w:p w:rsidR="000F171F" w:rsidRDefault="000F1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0F171F">
      <w:tc>
        <w:tcPr>
          <w:tcW w:w="2503" w:type="dxa"/>
        </w:tcPr>
        <w:p w:rsidR="000F171F" w:rsidRDefault="000F171F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0F171F" w:rsidRDefault="000F171F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0F171F" w:rsidRDefault="000F171F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0F171F" w:rsidRDefault="000F171F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0F171F" w:rsidRDefault="000F171F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0F171F" w:rsidRDefault="000F171F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0F171F" w:rsidRDefault="000F171F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0F171F" w:rsidRDefault="000F171F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0F171F" w:rsidRDefault="000F171F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388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0F171F" w:rsidRDefault="000F171F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76388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0F171F">
      <w:tc>
        <w:tcPr>
          <w:tcW w:w="3369" w:type="dxa"/>
        </w:tcPr>
        <w:p w:rsidR="000F171F" w:rsidRDefault="000F171F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0F171F" w:rsidRDefault="000F171F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0F171F" w:rsidRDefault="000F171F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0F171F" w:rsidRDefault="000F171F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0F171F" w:rsidRDefault="000F171F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0F171F" w:rsidRDefault="000F171F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0F171F" w:rsidRDefault="000F171F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0F171F" w:rsidRDefault="000F171F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0F171F" w:rsidRDefault="000F171F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0F171F" w:rsidRDefault="000F171F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0F171F" w:rsidRDefault="000F171F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0F171F" w:rsidRDefault="000F171F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0F171F" w:rsidRDefault="000F171F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388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0F171F" w:rsidRDefault="000F171F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76388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95389"/>
    <w:rsid w:val="000F171F"/>
    <w:rsid w:val="0017301F"/>
    <w:rsid w:val="00206229"/>
    <w:rsid w:val="002304E3"/>
    <w:rsid w:val="002726E5"/>
    <w:rsid w:val="00370B87"/>
    <w:rsid w:val="0054404C"/>
    <w:rsid w:val="00554AF1"/>
    <w:rsid w:val="0057305A"/>
    <w:rsid w:val="00583BDA"/>
    <w:rsid w:val="005E65F1"/>
    <w:rsid w:val="0063284E"/>
    <w:rsid w:val="00662047"/>
    <w:rsid w:val="006A0D15"/>
    <w:rsid w:val="00721F97"/>
    <w:rsid w:val="00741FC2"/>
    <w:rsid w:val="0074433A"/>
    <w:rsid w:val="00763881"/>
    <w:rsid w:val="007E0DB3"/>
    <w:rsid w:val="00877800"/>
    <w:rsid w:val="008E7AF3"/>
    <w:rsid w:val="008F5E48"/>
    <w:rsid w:val="00911C97"/>
    <w:rsid w:val="00934EFC"/>
    <w:rsid w:val="009814F6"/>
    <w:rsid w:val="0098494D"/>
    <w:rsid w:val="00990697"/>
    <w:rsid w:val="009C7F58"/>
    <w:rsid w:val="00A03B55"/>
    <w:rsid w:val="00A05A8A"/>
    <w:rsid w:val="00A13564"/>
    <w:rsid w:val="00AB7042"/>
    <w:rsid w:val="00AF25D6"/>
    <w:rsid w:val="00B05137"/>
    <w:rsid w:val="00B93241"/>
    <w:rsid w:val="00BD4936"/>
    <w:rsid w:val="00BE4B87"/>
    <w:rsid w:val="00C66A66"/>
    <w:rsid w:val="00D258DB"/>
    <w:rsid w:val="00D40633"/>
    <w:rsid w:val="00E30373"/>
    <w:rsid w:val="00E36575"/>
    <w:rsid w:val="00E93E60"/>
    <w:rsid w:val="00EA6576"/>
    <w:rsid w:val="00F44C8C"/>
    <w:rsid w:val="00FA0936"/>
    <w:rsid w:val="00FB7904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D1597-219B-4D79-8210-5A02F26D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dcterms:created xsi:type="dcterms:W3CDTF">2025-12-01T11:06:00Z</dcterms:created>
  <dcterms:modified xsi:type="dcterms:W3CDTF">2025-12-01T11:06:00Z</dcterms:modified>
</cp:coreProperties>
</file>