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25" w:rsidRDefault="00852D37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25" w:rsidRDefault="008B3125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CE1C84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84">
        <w:rPr>
          <w:rFonts w:ascii="Times New Roman" w:hAnsi="Times New Roman" w:cs="Times New Roman"/>
          <w:sz w:val="28"/>
          <w:szCs w:val="28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346)</w:t>
      </w:r>
      <w:r w:rsidR="00402B5C">
        <w:rPr>
          <w:rFonts w:ascii="Times New Roman" w:hAnsi="Times New Roman" w:cs="Times New Roman"/>
          <w:sz w:val="28"/>
          <w:szCs w:val="28"/>
        </w:rPr>
        <w:t xml:space="preserve">    </w:t>
      </w:r>
      <w:r w:rsidRPr="00CE1C84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5B60A8">
        <w:rPr>
          <w:rFonts w:ascii="Times New Roman" w:hAnsi="Times New Roman" w:cs="Times New Roman"/>
          <w:sz w:val="28"/>
          <w:szCs w:val="28"/>
        </w:rPr>
        <w:t>19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5B60A8">
        <w:rPr>
          <w:rFonts w:ascii="Times New Roman" w:hAnsi="Times New Roman" w:cs="Times New Roman"/>
          <w:sz w:val="28"/>
          <w:szCs w:val="28"/>
        </w:rPr>
        <w:t>июля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116F96">
        <w:rPr>
          <w:rFonts w:ascii="Times New Roman" w:hAnsi="Times New Roman" w:cs="Times New Roman"/>
          <w:sz w:val="28"/>
          <w:szCs w:val="28"/>
        </w:rPr>
        <w:t>4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5B60A8">
        <w:rPr>
          <w:rFonts w:ascii="Times New Roman" w:hAnsi="Times New Roman" w:cs="Times New Roman"/>
          <w:sz w:val="28"/>
          <w:szCs w:val="28"/>
        </w:rPr>
        <w:t>20</w:t>
      </w:r>
      <w:r w:rsidR="00116F96">
        <w:rPr>
          <w:rFonts w:ascii="Times New Roman" w:hAnsi="Times New Roman" w:cs="Times New Roman"/>
          <w:sz w:val="28"/>
          <w:szCs w:val="28"/>
        </w:rPr>
        <w:t>3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lastRenderedPageBreak/>
        <w:t>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F" w:rsidRDefault="0005513F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3F">
        <w:rPr>
          <w:rFonts w:ascii="Times New Roman" w:eastAsia="Times New Roman" w:hAnsi="Times New Roman" w:cs="Times New Roman"/>
          <w:sz w:val="28"/>
          <w:szCs w:val="28"/>
        </w:rPr>
        <w:t xml:space="preserve">3.Финансово-экономическому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</w:t>
      </w:r>
      <w:r w:rsidRPr="00DB7E5B">
        <w:rPr>
          <w:rFonts w:ascii="Times New Roman" w:hAnsi="Times New Roman" w:cs="Times New Roman"/>
          <w:sz w:val="28"/>
          <w:szCs w:val="28"/>
        </w:rPr>
        <w:t>«Развитие культуры и кинематографии в Старощербиновском сельского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9F" w:rsidRPr="00720C9F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«Ин-формационный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22"/>
        <w:gridCol w:w="9963"/>
      </w:tblGrid>
      <w:tr w:rsidR="00852D37" w:rsidRPr="00852D37" w:rsidTr="00FB65B7">
        <w:trPr>
          <w:trHeight w:val="2410"/>
        </w:trPr>
        <w:tc>
          <w:tcPr>
            <w:tcW w:w="222" w:type="dxa"/>
          </w:tcPr>
          <w:p w:rsidR="00852D37" w:rsidRPr="00852D37" w:rsidRDefault="00852D37" w:rsidP="00852D37">
            <w:pPr>
              <w:overflowPunct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4644"/>
              <w:gridCol w:w="5103"/>
            </w:tblGrid>
            <w:tr w:rsidR="00852D37" w:rsidRPr="00852D37" w:rsidTr="00FB65B7">
              <w:trPr>
                <w:trHeight w:val="1610"/>
              </w:trPr>
              <w:tc>
                <w:tcPr>
                  <w:tcW w:w="4644" w:type="dxa"/>
                </w:tcPr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852D37" w:rsidRPr="00852D37" w:rsidRDefault="00852D37" w:rsidP="00852D37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852D37" w:rsidRPr="00852D37" w:rsidRDefault="00852D37" w:rsidP="00852D37">
                  <w:pPr>
                    <w:widowControl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Старощербиновского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Щербиновского района</w:t>
                  </w:r>
                </w:p>
                <w:p w:rsidR="00852D37" w:rsidRPr="00852D37" w:rsidRDefault="00852D37" w:rsidP="00852D37">
                  <w:pPr>
                    <w:framePr w:hSpace="180" w:wrap="around" w:vAnchor="page" w:hAnchor="margin" w:y="1051"/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 № ____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вносимые в постановление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Старощербиновского сельского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Щербиновского района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14 октября 2019 г. № 358 «Об утверждении 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 Старощербиновского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Щербиновского района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культуры и кинематографии в 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Старощербиновском сельском поселении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Щербиновского района» </w:t>
            </w:r>
          </w:p>
          <w:p w:rsidR="00852D37" w:rsidRPr="00852D37" w:rsidRDefault="00852D37" w:rsidP="0085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D37" w:rsidRPr="00852D37" w:rsidRDefault="00852D37" w:rsidP="0085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2D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к постановлению изложить в следующей редакции:</w:t>
            </w:r>
          </w:p>
          <w:p w:rsidR="00852D37" w:rsidRPr="00852D37" w:rsidRDefault="00852D37" w:rsidP="0085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1"/>
              <w:gridCol w:w="4886"/>
            </w:tblGrid>
            <w:tr w:rsidR="00852D37" w:rsidRPr="00852D37" w:rsidTr="00FB65B7">
              <w:tc>
                <w:tcPr>
                  <w:tcW w:w="4927" w:type="dxa"/>
                </w:tcPr>
                <w:p w:rsidR="00852D37" w:rsidRPr="00852D37" w:rsidRDefault="00852D37" w:rsidP="00852D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«Приложение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УТВЕРЖДЕНА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постановлением администрации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Старощербиновского сельского 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поселения Щербиновского района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14 октября 2019 г. № 358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(в редакции постановления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администрации Старощербиновского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сельского поселения </w:t>
                  </w:r>
                </w:p>
                <w:p w:rsidR="00852D37" w:rsidRPr="00852D37" w:rsidRDefault="00852D37" w:rsidP="00852D37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Щербиновского района</w:t>
                  </w:r>
                </w:p>
                <w:p w:rsidR="00852D37" w:rsidRPr="00852D37" w:rsidRDefault="00852D37" w:rsidP="00852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52D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_____________ № ____</w:t>
                  </w:r>
                </w:p>
                <w:p w:rsidR="00852D37" w:rsidRPr="00852D37" w:rsidRDefault="00852D37" w:rsidP="00852D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:rsidR="00852D37" w:rsidRPr="00852D37" w:rsidRDefault="00852D37" w:rsidP="00852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852D37" w:rsidRPr="00852D37" w:rsidRDefault="00852D37" w:rsidP="00852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852D37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852D37" w:rsidRPr="00852D37" w:rsidRDefault="00852D37" w:rsidP="00852D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852D37" w:rsidRPr="00852D37" w:rsidRDefault="00852D37" w:rsidP="00852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852D37" w:rsidRPr="00852D37" w:rsidRDefault="00852D37" w:rsidP="00852D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«Старощербиновский историко-краеведческий музей имени М.М. Постернак» Старощербиновского сельского поселения Щербиновского района (далее - МБУК Старощербиновский музей);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 (далее - МБУК «Щербиновский центр кинодосуга»).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За 2023 год число зарегистрированных пользователей МКУК «Детская библиотека» составило 2110 человека, число посещений - 18542, для детей проведено 125 мероприятий, на которых присутствовали 2007 человек.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На 1 января 2024 г. книжный фонд МКУК «Детская библиотека» составляет - 34173 экземпляра литературы. Из бюджета Старощербиновского сельского поселения Щербиновского района в 2023 году приобретено 397 экземпляров литературы.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В течение 2023 года проведено 432 мероприятия. Число участников мероприятий составило 109309 человек. В 2023 году на базе МБУК ЦНТ функционировало 23 клубных формирований, в том числе 12 коллективов самодеятельного народного творчества, 5 из которых имеют звание «народный», один «образцовый». Число участников клубных формирований составило 656 человек.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2023 году составила 4241 человек. Проведено 8 плановых музейных мероприятий. Открыто 26 выставок различной направленности. Фонд музея пополнился за 2023 год на 142 единицы и составил 7428 единицы хранения.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1.2.4. Число штатных единиц МБУК «Щербиновский центр кинодосуга» составляет 13 единиц.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За 2023 год в кинотеатре «Родина» проведено 2300 киносеанса, в том числе платных 2176. Количество зрителей платных киносеансов 10478 человек. </w:t>
      </w:r>
      <w:r w:rsidRPr="00852D37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11876 зрителей. Проведены 48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киноакции. Особое внимание было уделено работе по борьбе с наркоманией, алкоголизмом, ВИЧ-инфекцией и курением.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852D37" w:rsidRPr="00852D37" w:rsidRDefault="00852D37" w:rsidP="00852D3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852D37" w:rsidRPr="00852D37" w:rsidRDefault="00852D37" w:rsidP="00852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852D37" w:rsidRPr="00852D37" w:rsidRDefault="00852D37" w:rsidP="0085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852D37" w:rsidRPr="00852D37" w:rsidRDefault="00852D37" w:rsidP="00852D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организации массового отдыха и досуга жителей поселения; 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852D37" w:rsidRPr="00852D37" w:rsidRDefault="00852D37" w:rsidP="00852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обеспечения квалифицированными кадрами</w:t>
      </w:r>
      <w:r w:rsidRPr="00852D3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852D37" w:rsidRPr="00852D37" w:rsidRDefault="00852D37" w:rsidP="00852D3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852D37" w:rsidRPr="00852D37" w:rsidRDefault="00852D37" w:rsidP="00852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852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КП = КПм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/ КПм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852D37" w:rsidRPr="00852D37" w:rsidRDefault="00852D37" w:rsidP="00852D3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852D37" w:rsidRPr="00852D37" w:rsidRDefault="00852D37" w:rsidP="00852D37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Кв = Кв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-Кв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/ Кв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852D37" w:rsidRPr="00852D37" w:rsidRDefault="00852D37" w:rsidP="00852D37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Кв - количество выставок и выставочных проектов МБУК Старощербиновский музей;</w:t>
      </w:r>
    </w:p>
    <w:p w:rsidR="00852D37" w:rsidRPr="00852D37" w:rsidRDefault="00852D37" w:rsidP="00852D3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852D37" w:rsidRPr="00852D37" w:rsidRDefault="00852D37" w:rsidP="00852D3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выставок и выставочных проектов в 2012 году - 12 единиц.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Д = Пэкс /Побщ х 100,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Пэкс - количество экспонированных музейных предметов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Побщ - общее число музейных предметов и коллекций за отчетный период.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СрЗ = Ф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СрЗ - средняя численность зрителей на мероприятиях, в расчете на 1 тысячу человек;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СрЭ = Ф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СрЭ - средняя численность участников клубных формирований в расчете на 1 тысячу человек;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ПЭ = (К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наполняемость зала»,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СрНЗ = К</w:t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СрНЗ - средняя наполняемость зала,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«Среднее число документовыдач в расчете на 1000 человек населения в возрасте до 15 лет (включительно)»,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СрДв = Чдв / Чж *1000,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СрДв - среднее число документовыдач в расчете на 1000 человек населения в возрасте до 15 лет (включительно);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Чдв - число документовыдач за отчетный период;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Р = Нп / Чж * 1000,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Нп - количество экземпляров новых поступлений в библиотечные фонды МКУК «Детская библиотека»;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Окв = Ксспв / Ксс * 100, где: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Окв - обеспечение специалистов села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Ксспв - количество специалистов села, которым в отчетном периоде предоставлялись 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852D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предоставлении компенсационных выплат на возмещение расходов 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Ксс - количество специалистов села, которые в отчетном периоде имели право на предоставление 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Коу – количество оснащенных учреждений поселения, в которых приобретались объекты имущества в отчетном периоде;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По = Ко.фпр/ Ко.пр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Ко.фпр – количество объектов имущества фактически приобретенных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Ко.пр – количество объектов имущества запланированных к приобретению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52D37" w:rsidRPr="00852D37" w:rsidRDefault="00852D37" w:rsidP="00852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Коу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Пр = Кфпр/ Кол.пр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Пр - обеспечение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Кол.фпр - количество фактически проведенных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Кол.пр - количество запланированных к проведению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проектно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Ппсд = Кпсд.фр/ Кпсд.пр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Ппсд - о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беспечение проектно - сметной документацией на выполнение работ по текущему и капитальному ремонту учреждений поселения (%);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Кпсд.фр - количество фактически разработанной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сметной документации на выполнение работ по текущему и капитальному ремонту учреждений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Кпсд.пр - количество запланированной к разработке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сметной документации на выполнение работ по текущему и капитальному ремонту учреждений поселения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Оюу = Кюу.фк/ Кюу.пк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Оюу - о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Кюу.фк - количество фактически заключенных контрактов на оказание юридических услуг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Кюу.пк - количество запланированной к заключению контрактов на оказание юридических услуг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Оаз = Каз.фк/ Каз.пк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Оаз - о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Каз.фк - количество фактически заключенных контрактов на обеспечение антитеррористической защищенности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Каз.пк - количество запланированной к заключению контрактов на обеспечение антитеррористической защищенности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требований пожарной безопасности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поселения»,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Опб = Кпб.фк/ Кпб.пк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Опб - о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Кпб.фк - количество фактически заключенных контрактов на обеспечение требований пожарной безопасности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Кпб.пк - количество запланированной к заключению контрактов на обеспечение требований пожарной безопасности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852D37" w:rsidRPr="00852D37" w:rsidRDefault="009F765D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52D37"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Оса = Кса.фк/ Кса.пк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Кса.фк - количество фактически исполненных судебных актов и исполнительных документов, выданных на основании судебных актов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Кса.пк - количество запланированных к исполнению судебных актов и исполнительных документов, выданных на основании судебных актов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852D37" w:rsidRPr="00852D37" w:rsidRDefault="009F765D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52D37"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852D37" w:rsidRPr="00852D37" w:rsidRDefault="00852D37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Омб = Кмб.фк/ Кмб.пк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Омб – обеспечение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Кмб.фк - количество фактически заключенных контрактов на обеспечение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Кмб.пк - количество запланированной к заключению контрактов на обеспечение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52D37" w:rsidRPr="00852D37" w:rsidRDefault="009F765D" w:rsidP="00852D3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52D37" w:rsidRPr="00852D37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lastRenderedPageBreak/>
        <w:t>Оэб = Кэб.фк/ Кэб.пк х 100, где:</w:t>
      </w:r>
    </w:p>
    <w:p w:rsidR="00852D37" w:rsidRPr="00852D37" w:rsidRDefault="00852D37" w:rsidP="00852D37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Оэб – обеспечение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Кэб.фк - количество фактически заключенных контрактов по обеспечению экологической безопасности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Кэб.пк - количество запланированной к заключению контрактов по обеспечению экологической безопасности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852D37" w:rsidRPr="00852D37" w:rsidRDefault="00852D37" w:rsidP="0085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852D37" w:rsidRPr="00852D37" w:rsidRDefault="00852D37" w:rsidP="00852D3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52D37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52D37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852D37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поселения».</w:t>
      </w: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852D37" w:rsidRPr="00852D37" w:rsidRDefault="00852D37" w:rsidP="00852D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218486848 (двести восемнадцать миллионов четыреста восемьдесят шесть тысяч восемьсот сорок восемь) рублей 31 копейка: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1134"/>
        <w:gridCol w:w="851"/>
        <w:gridCol w:w="850"/>
        <w:gridCol w:w="992"/>
      </w:tblGrid>
      <w:tr w:rsidR="00852D37" w:rsidRPr="00852D37" w:rsidTr="00FB65B7">
        <w:trPr>
          <w:trHeight w:val="559"/>
        </w:trPr>
        <w:tc>
          <w:tcPr>
            <w:tcW w:w="1384" w:type="dxa"/>
            <w:vMerge w:val="restart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52D37" w:rsidRPr="00852D37" w:rsidTr="00FB65B7">
        <w:trPr>
          <w:trHeight w:val="460"/>
        </w:trPr>
        <w:tc>
          <w:tcPr>
            <w:tcW w:w="1384" w:type="dxa"/>
            <w:vMerge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218486848,31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26216055,62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213212348,31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26216055,62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19029535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98311156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13266091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47834443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6011257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казенного учреждения культуры «Детская библиотека» Старощербиновского сельского поселения Щербиновского района»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22080840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2855476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870646,04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124146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D37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7830205,09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172580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«Капитальный и текущий ремонт учреждений культуры и кинематографии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18020105,91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1578818,86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1134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982356,48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1732254,64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1134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86984,14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исполнения судебных актов и </w:t>
            </w: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исполнительных документов, вы-данных на основании судебных актов учреждений культуры и кинематогра-фии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5323,77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мероприятий по обустройству учреждений 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D37" w:rsidRPr="00852D37" w:rsidTr="00FB65B7">
        <w:tc>
          <w:tcPr>
            <w:tcW w:w="1384" w:type="dxa"/>
          </w:tcPr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852D37" w:rsidRPr="00852D37" w:rsidRDefault="00852D37" w:rsidP="0085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2D37" w:rsidRPr="00852D37" w:rsidRDefault="00852D37" w:rsidP="0085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851" w:type="dxa"/>
          </w:tcPr>
          <w:p w:rsidR="00852D37" w:rsidRPr="00852D37" w:rsidRDefault="00852D37" w:rsidP="0085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37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D37" w:rsidRPr="00852D37" w:rsidRDefault="00852D37" w:rsidP="0085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765D" w:rsidRDefault="009F765D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852D37" w:rsidRPr="00852D37" w:rsidRDefault="00852D37" w:rsidP="00852D3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</w:t>
      </w:r>
      <w:r w:rsidRPr="00852D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программе.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2D37" w:rsidRPr="00852D37" w:rsidRDefault="00852D37" w:rsidP="009F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D37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852D37" w:rsidRPr="00852D37" w:rsidRDefault="00852D37" w:rsidP="0085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852D37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852D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</w:t>
      </w:r>
      <w:r w:rsidR="009F76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      31 декабря текущего финансового года, разрабатывает </w:t>
      </w:r>
      <w:hyperlink r:id="rId9" w:anchor="Par1729" w:history="1">
        <w:r w:rsidRPr="00852D37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52D37">
        <w:rPr>
          <w:rFonts w:ascii="Calibri" w:eastAsia="Times New Roman" w:hAnsi="Calibri" w:cs="Calibri"/>
          <w:szCs w:val="20"/>
        </w:rPr>
        <w:t xml:space="preserve">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852D37">
        <w:rPr>
          <w:rFonts w:ascii="Times New Roman" w:eastAsia="Times New Roman" w:hAnsi="Times New Roman" w:cs="Times New Roman"/>
        </w:rPr>
        <w:t xml:space="preserve">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852D37">
        <w:rPr>
          <w:rFonts w:ascii="Times New Roman" w:eastAsia="Times New Roman" w:hAnsi="Times New Roman" w:cs="Times New Roman"/>
        </w:rPr>
        <w:t xml:space="preserve">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852D37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52D37" w:rsidRPr="00852D37" w:rsidRDefault="00852D37" w:rsidP="009F765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852D37" w:rsidRPr="00852D37" w:rsidRDefault="00852D37" w:rsidP="009F765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          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852D37" w:rsidRPr="00852D37" w:rsidRDefault="00852D37" w:rsidP="009F765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852D37" w:rsidRPr="00852D37" w:rsidRDefault="00852D37" w:rsidP="009F765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</w:t>
      </w: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 xml:space="preserve">порядке согласно Федеральному </w:t>
      </w:r>
      <w:hyperlink r:id="rId10" w:history="1">
        <w:r w:rsidRPr="00852D37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52D37" w:rsidRPr="00852D37" w:rsidRDefault="00852D37" w:rsidP="009F765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852D37" w:rsidRPr="00852D37" w:rsidRDefault="00852D37" w:rsidP="009F765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852D37" w:rsidRPr="00852D37" w:rsidRDefault="00852D37" w:rsidP="009F765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852D3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852D37" w:rsidRPr="00852D37" w:rsidRDefault="00852D37" w:rsidP="009F7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852D37" w:rsidRPr="00852D37" w:rsidRDefault="00852D37" w:rsidP="009F765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852D37" w:rsidRPr="00852D37" w:rsidRDefault="00852D37" w:rsidP="0085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D37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А.С. Калмыкова</w:t>
      </w:r>
    </w:p>
    <w:p w:rsidR="00852D37" w:rsidRDefault="00852D37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9F765D" w:rsidRPr="009F765D" w:rsidTr="00FB65B7">
        <w:tc>
          <w:tcPr>
            <w:tcW w:w="4927" w:type="dxa"/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9F765D" w:rsidRPr="009F765D" w:rsidRDefault="009F765D" w:rsidP="009F765D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экологической безопасности учреждений культуры и кинематографии </w:t>
            </w: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зрителей на мероприятиях, в расчете на 1000 человек;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число документовыдач в расчете на 1000 человек населения в возрасте до 15 лет (включительно);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количество заключенных контрактов на обеспечение антитеррористической защищенности;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требований пожарной безопасности;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заключенных контрактов на обеспечение экологической безопасности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218486848 рублей 31 копейка.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213212348 рублей 31 копейка, в том числе: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26216055 рублей 62 копеек;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27942662 рублей 00 копеек;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27942662 рублей 00 копеек;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- 27942662 рублей 00 копеек.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5274500 рублей 00 копеек, в том числе: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65D" w:rsidRPr="009F765D" w:rsidTr="00FB65B7">
        <w:tc>
          <w:tcPr>
            <w:tcW w:w="4151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F765D" w:rsidSect="00402B5C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9F765D" w:rsidRPr="009F765D" w:rsidTr="00FB65B7">
        <w:tc>
          <w:tcPr>
            <w:tcW w:w="9606" w:type="dxa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F765D" w:rsidRPr="009F765D" w:rsidRDefault="009F765D" w:rsidP="009F7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9F765D" w:rsidRPr="009F765D" w:rsidRDefault="009F765D" w:rsidP="009F7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9F765D" w:rsidRPr="009F765D" w:rsidRDefault="009F765D" w:rsidP="009F7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9F765D" w:rsidRPr="009F765D" w:rsidRDefault="009F765D" w:rsidP="009F7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417"/>
        <w:gridCol w:w="1138"/>
        <w:gridCol w:w="1420"/>
        <w:gridCol w:w="1131"/>
        <w:gridCol w:w="1416"/>
        <w:gridCol w:w="1710"/>
        <w:gridCol w:w="1265"/>
        <w:gridCol w:w="1276"/>
      </w:tblGrid>
      <w:tr w:rsidR="009F765D" w:rsidRPr="009F765D" w:rsidTr="00FB65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9F765D" w:rsidRPr="009F765D" w:rsidTr="00FB65B7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документовыдач в расчете на 1000 человек населения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rHeight w:val="11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1.1.13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765D" w:rsidRPr="009F765D" w:rsidRDefault="009F765D" w:rsidP="009F76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                                                                 А.С. Калмыкова</w:t>
      </w: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9F765D" w:rsidRPr="009F765D" w:rsidTr="00FB65B7">
        <w:tc>
          <w:tcPr>
            <w:tcW w:w="9889" w:type="dxa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F765D" w:rsidRPr="009F765D" w:rsidRDefault="009F765D" w:rsidP="009F7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9F765D" w:rsidRPr="009F765D" w:rsidRDefault="009F765D" w:rsidP="009F7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9F7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F765D" w:rsidRPr="009F765D" w:rsidRDefault="009F765D" w:rsidP="009F7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9F765D" w:rsidRPr="009F765D" w:rsidRDefault="009F765D" w:rsidP="009F7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76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9F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9F765D" w:rsidRPr="009F765D" w:rsidRDefault="009F765D" w:rsidP="009F7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9F765D" w:rsidRPr="009F765D" w:rsidRDefault="009F765D" w:rsidP="009F7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F765D" w:rsidRPr="009F765D" w:rsidTr="00FB65B7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9F765D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9F765D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98311156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13266091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98311156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13266091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9F765D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47834443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6011257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МБУК «Щербиновский центр кинодосуга»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47834443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6011257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9F765D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9F765D" w:rsidRPr="009F765D" w:rsidTr="00FB65B7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22080840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2855476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9F765D" w:rsidRPr="009F765D" w:rsidTr="00FB65B7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22080840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2855476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870646,04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124146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870646,04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124146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7830205,09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172580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6055705,09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172580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6965537,09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5191037,09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18020105,91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14520105,91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15204105,51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11704105,51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«Щербиновский центр кинодосуга»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1578818,86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982356,48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1578818,86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982356,48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502364,84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502364,84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1732254,64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86984,14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1732254,64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86987,14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1446430,63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42384,14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1446430,63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42384,14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12.2 Обеспечение мероприятий по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9F765D" w:rsidRPr="009F765D" w:rsidTr="00FB65B7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13 обеспечение экологической безопасности учреждений культуры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9F765D" w:rsidRPr="009F765D" w:rsidTr="00FB65B7">
        <w:trPr>
          <w:trHeight w:val="127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бюджетного учреждения культуры «Старощербиновский историко-краеведческий музей имени М.М. Постернак» Старощерб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бюджетного учреждения культуры «Старощербиновский историко-краеведческий</w:t>
            </w: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музей имени М.М. Постернак»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казеннного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9F765D" w:rsidRPr="009F765D" w:rsidTr="00FB65B7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218486848,31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26216055,62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213212348,31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26216055,62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765D" w:rsidRPr="009F765D" w:rsidTr="00FB65B7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765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F765D" w:rsidRPr="009F765D" w:rsidRDefault="009F765D" w:rsidP="009F765D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765D" w:rsidRPr="009F765D" w:rsidRDefault="009F765D" w:rsidP="009F765D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765D" w:rsidRPr="009F765D" w:rsidRDefault="009F765D" w:rsidP="009F765D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9F765D" w:rsidRPr="009F765D" w:rsidTr="00FB65B7">
        <w:trPr>
          <w:trHeight w:val="2416"/>
        </w:trPr>
        <w:tc>
          <w:tcPr>
            <w:tcW w:w="9707" w:type="dxa"/>
          </w:tcPr>
          <w:p w:rsidR="009F765D" w:rsidRPr="009F765D" w:rsidRDefault="009F765D" w:rsidP="009F765D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65D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9F765D" w:rsidRPr="009F765D" w:rsidRDefault="009F765D" w:rsidP="009F7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9F765D" w:rsidRPr="009F765D" w:rsidRDefault="009F765D" w:rsidP="009F7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851"/>
        <w:gridCol w:w="708"/>
        <w:gridCol w:w="850"/>
        <w:gridCol w:w="785"/>
        <w:gridCol w:w="491"/>
        <w:gridCol w:w="567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9F765D">
              <w:rPr>
                <w:rFonts w:ascii="Times New Roman" w:eastAsia="Times New Roman" w:hAnsi="Times New Roman" w:cs="Times New Roman"/>
              </w:rPr>
              <w:lastRenderedPageBreak/>
              <w:t>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9F7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113700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113700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113700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113700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9345091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9F765D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9F765D" w:rsidRPr="009F765D" w:rsidTr="00FB65B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Основное мероприятие № 3. 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13240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765D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6011257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D" w:rsidRPr="009F765D" w:rsidRDefault="009F765D" w:rsidP="009F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65D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765D" w:rsidRPr="009F765D" w:rsidRDefault="009F765D" w:rsidP="009F7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F765D" w:rsidRPr="009F765D" w:rsidRDefault="009F765D" w:rsidP="009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5D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9F765D" w:rsidRPr="009F765D" w:rsidRDefault="009F765D" w:rsidP="009F76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65D" w:rsidRDefault="009F765D" w:rsidP="00A93EF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F765D" w:rsidSect="009F765D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23" w:rsidRDefault="00315D23" w:rsidP="00530D45">
      <w:pPr>
        <w:spacing w:after="0" w:line="240" w:lineRule="auto"/>
      </w:pPr>
      <w:r>
        <w:separator/>
      </w:r>
    </w:p>
  </w:endnote>
  <w:endnote w:type="continuationSeparator" w:id="0">
    <w:p w:rsidR="00315D23" w:rsidRDefault="00315D23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23" w:rsidRDefault="00315D23" w:rsidP="00530D45">
      <w:pPr>
        <w:spacing w:after="0" w:line="240" w:lineRule="auto"/>
      </w:pPr>
      <w:r>
        <w:separator/>
      </w:r>
    </w:p>
  </w:footnote>
  <w:footnote w:type="continuationSeparator" w:id="0">
    <w:p w:rsidR="00315D23" w:rsidRDefault="00315D23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054392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4392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60B0"/>
    <w:rsid w:val="001C52FD"/>
    <w:rsid w:val="001F50E8"/>
    <w:rsid w:val="00202170"/>
    <w:rsid w:val="00202B35"/>
    <w:rsid w:val="00204B34"/>
    <w:rsid w:val="00226073"/>
    <w:rsid w:val="00231FB5"/>
    <w:rsid w:val="00232950"/>
    <w:rsid w:val="0023332A"/>
    <w:rsid w:val="00247036"/>
    <w:rsid w:val="00247F37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5D23"/>
    <w:rsid w:val="00317DB6"/>
    <w:rsid w:val="00337620"/>
    <w:rsid w:val="00340617"/>
    <w:rsid w:val="00363AC6"/>
    <w:rsid w:val="003640CF"/>
    <w:rsid w:val="00365A06"/>
    <w:rsid w:val="00366FF6"/>
    <w:rsid w:val="00384022"/>
    <w:rsid w:val="003B2472"/>
    <w:rsid w:val="003B4D68"/>
    <w:rsid w:val="003C0F7C"/>
    <w:rsid w:val="003C4602"/>
    <w:rsid w:val="003E7D57"/>
    <w:rsid w:val="003F0C6C"/>
    <w:rsid w:val="003F1925"/>
    <w:rsid w:val="00402B5C"/>
    <w:rsid w:val="004303EC"/>
    <w:rsid w:val="00430FC6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E3B"/>
    <w:rsid w:val="004E0B4D"/>
    <w:rsid w:val="004E2947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F2CD3"/>
    <w:rsid w:val="00613FED"/>
    <w:rsid w:val="006209CB"/>
    <w:rsid w:val="00625828"/>
    <w:rsid w:val="00630BC0"/>
    <w:rsid w:val="00633EDD"/>
    <w:rsid w:val="00656636"/>
    <w:rsid w:val="00675B7B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E1638"/>
    <w:rsid w:val="007E3C51"/>
    <w:rsid w:val="008063AE"/>
    <w:rsid w:val="00811985"/>
    <w:rsid w:val="0082344A"/>
    <w:rsid w:val="00823DEC"/>
    <w:rsid w:val="0083736B"/>
    <w:rsid w:val="00843BBC"/>
    <w:rsid w:val="00845C05"/>
    <w:rsid w:val="00852D37"/>
    <w:rsid w:val="00891ECF"/>
    <w:rsid w:val="008B1856"/>
    <w:rsid w:val="008B3125"/>
    <w:rsid w:val="008B6FD5"/>
    <w:rsid w:val="008C031E"/>
    <w:rsid w:val="008C4698"/>
    <w:rsid w:val="008E33C0"/>
    <w:rsid w:val="008F7585"/>
    <w:rsid w:val="00901583"/>
    <w:rsid w:val="0090290F"/>
    <w:rsid w:val="00924A4D"/>
    <w:rsid w:val="00943FCD"/>
    <w:rsid w:val="009444AC"/>
    <w:rsid w:val="009465F9"/>
    <w:rsid w:val="009673DC"/>
    <w:rsid w:val="00980622"/>
    <w:rsid w:val="00990102"/>
    <w:rsid w:val="009B62E5"/>
    <w:rsid w:val="009E4627"/>
    <w:rsid w:val="009E75D8"/>
    <w:rsid w:val="009F1951"/>
    <w:rsid w:val="009F43FD"/>
    <w:rsid w:val="009F69DA"/>
    <w:rsid w:val="009F723B"/>
    <w:rsid w:val="009F765D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B58EE"/>
    <w:rsid w:val="00AC6EB4"/>
    <w:rsid w:val="00AD3064"/>
    <w:rsid w:val="00B044F6"/>
    <w:rsid w:val="00B13F80"/>
    <w:rsid w:val="00B27A39"/>
    <w:rsid w:val="00B50033"/>
    <w:rsid w:val="00B81260"/>
    <w:rsid w:val="00B855C4"/>
    <w:rsid w:val="00B94D80"/>
    <w:rsid w:val="00B96919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152DB"/>
    <w:rsid w:val="00C166BD"/>
    <w:rsid w:val="00C22DFC"/>
    <w:rsid w:val="00C32384"/>
    <w:rsid w:val="00C331C7"/>
    <w:rsid w:val="00C40D44"/>
    <w:rsid w:val="00C67C2A"/>
    <w:rsid w:val="00C70CD1"/>
    <w:rsid w:val="00C74452"/>
    <w:rsid w:val="00C92DB4"/>
    <w:rsid w:val="00CA2AA9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D10773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E0224B"/>
    <w:rsid w:val="00E10B38"/>
    <w:rsid w:val="00E25E25"/>
    <w:rsid w:val="00E35555"/>
    <w:rsid w:val="00E35B8B"/>
    <w:rsid w:val="00E424D2"/>
    <w:rsid w:val="00E51689"/>
    <w:rsid w:val="00E527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8075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4957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rsid w:val="00852D37"/>
  </w:style>
  <w:style w:type="character" w:styleId="ab">
    <w:name w:val="Hyperlink"/>
    <w:rsid w:val="00852D37"/>
    <w:rPr>
      <w:color w:val="0563C1"/>
      <w:u w:val="single"/>
    </w:rPr>
  </w:style>
  <w:style w:type="paragraph" w:customStyle="1" w:styleId="ac">
    <w:name w:val="Содержимое таблицы"/>
    <w:basedOn w:val="a"/>
    <w:rsid w:val="00852D37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52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52D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basedOn w:val="a"/>
    <w:next w:val="ae"/>
    <w:uiPriority w:val="99"/>
    <w:unhideWhenUsed/>
    <w:rsid w:val="0085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52D37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9F765D"/>
  </w:style>
  <w:style w:type="table" w:styleId="af">
    <w:name w:val="Table Grid"/>
    <w:basedOn w:val="a1"/>
    <w:rsid w:val="009F76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9F76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4E0A-5535-4DC5-91B1-A24836C3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12625</Words>
  <Characters>71968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5</cp:revision>
  <cp:lastPrinted>2024-10-14T09:53:00Z</cp:lastPrinted>
  <dcterms:created xsi:type="dcterms:W3CDTF">2024-10-14T10:12:00Z</dcterms:created>
  <dcterms:modified xsi:type="dcterms:W3CDTF">2024-10-14T10:22:00Z</dcterms:modified>
</cp:coreProperties>
</file>