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83" w:rsidRPr="005B6683" w:rsidRDefault="005B6683" w:rsidP="005B6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83">
        <w:rPr>
          <w:rFonts w:ascii="Times New Roman" w:hAnsi="Times New Roman" w:cs="Times New Roman"/>
          <w:b/>
          <w:sz w:val="28"/>
          <w:szCs w:val="28"/>
        </w:rPr>
        <w:t>Какие п</w:t>
      </w:r>
      <w:bookmarkStart w:id="0" w:name="_GoBack"/>
      <w:bookmarkEnd w:id="0"/>
      <w:r w:rsidRPr="005B6683">
        <w:rPr>
          <w:rFonts w:ascii="Times New Roman" w:hAnsi="Times New Roman" w:cs="Times New Roman"/>
          <w:b/>
          <w:sz w:val="28"/>
          <w:szCs w:val="28"/>
        </w:rPr>
        <w:t>остройки, расположенные на земельном участке,</w:t>
      </w:r>
    </w:p>
    <w:p w:rsidR="005B6683" w:rsidRPr="005B6683" w:rsidRDefault="005B6683" w:rsidP="005B6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b/>
          <w:sz w:val="28"/>
          <w:szCs w:val="28"/>
        </w:rPr>
        <w:t>надо регистрировать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>Государственной регистрации подлежат право собственности и другие вещные права на недвижимое имущество и сделки с ним в соответствии со ст. ст. 130, 131, 132, 133.1 и 164 ГК РФ. В случаях, установленных федеральным законом, государственной регистрации подлежат возникающие, в том числе на основании договора, либо акта органа государственной власти, либо акта органа местного самоуправления, ограничения прав и обременения недвижимого имущества, в частности, сервитут, ипотека, доверительное управление, аренда, наем жилого помещения.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>В соответствии со ст. 130 ГК РФ к недвижимым вещам (недвижимое имущество, недвижимость) относятся земельные участки, участки недр и все, что прочно связано с землей, т.е.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>Объекты капитального строительства необходимо ставить на кадастровый учет и регистрировать права на них в ЕГРН. К таким объектам относятся здания, строения, сооружения, объекты незавершенного строительства, линейные объекты.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>Основные признаки объектов капитального строительства: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>- прочная связь с землей;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>- заглубленный фундамент;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683">
        <w:rPr>
          <w:rFonts w:ascii="Times New Roman" w:hAnsi="Times New Roman" w:cs="Times New Roman"/>
          <w:sz w:val="28"/>
          <w:szCs w:val="28"/>
        </w:rPr>
        <w:t>невозможность перемещения без нанесения несоразмерного ущерба назначению.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>Таким образом, общим критерием отнесения объектов к капитальным объектам является неразрывная связь с землей и невозможность перемещения объекта без нанесения несоразмерного ущерба его назначению.</w:t>
      </w:r>
    </w:p>
    <w:p w:rsidR="005B6683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>Владелец строения сам должен определить, отвечает ли возведенная им постройка признакам недвижимости: для этого она должна быть прочно связана с землей, а ее перемещение без ущерба назначению будет невозможным.</w:t>
      </w:r>
    </w:p>
    <w:p w:rsidR="00A92562" w:rsidRPr="005B6683" w:rsidRDefault="005B6683" w:rsidP="005B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3">
        <w:rPr>
          <w:rFonts w:ascii="Times New Roman" w:hAnsi="Times New Roman" w:cs="Times New Roman"/>
          <w:sz w:val="28"/>
          <w:szCs w:val="28"/>
        </w:rPr>
        <w:t xml:space="preserve">Постройки, которые не являются недвижимостью, можно не регистрировать в ЕГРН. Это касается строений, не имеющих капитального фундамента (теплицы, </w:t>
      </w:r>
      <w:proofErr w:type="spellStart"/>
      <w:r w:rsidRPr="005B6683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Pr="005B6683">
        <w:rPr>
          <w:rFonts w:ascii="Times New Roman" w:hAnsi="Times New Roman" w:cs="Times New Roman"/>
          <w:sz w:val="28"/>
          <w:szCs w:val="28"/>
        </w:rPr>
        <w:t>, бытовки, навесы, некапитальные временные строения и т.п.). Такие постройки не облагаются налогом.</w:t>
      </w:r>
    </w:p>
    <w:sectPr w:rsidR="00A92562" w:rsidRPr="005B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8"/>
    <w:rsid w:val="003A6A5F"/>
    <w:rsid w:val="005B6683"/>
    <w:rsid w:val="00A92562"/>
    <w:rsid w:val="00D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FD61"/>
  <w15:chartTrackingRefBased/>
  <w15:docId w15:val="{7AB5122C-33B7-4F72-8A86-ACF46BC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2021-12-23T07:04:00Z</dcterms:created>
  <dcterms:modified xsi:type="dcterms:W3CDTF">2021-12-23T08:11:00Z</dcterms:modified>
</cp:coreProperties>
</file>