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25" w:rsidRPr="00BE01F3" w:rsidRDefault="00326759" w:rsidP="008B3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7B" w:rsidRPr="00A86E72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8B3125" w:rsidRDefault="00351D3D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>айона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от 31 октября 2014 года № 529 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«Об утверждении муниципальной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8B3125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«Обеспечение безопасности </w:t>
      </w:r>
    </w:p>
    <w:p w:rsidR="008B3125" w:rsidRDefault="00675B7B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>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0E6C10">
        <w:rPr>
          <w:rFonts w:ascii="Times New Roman" w:hAnsi="Times New Roman" w:cs="Times New Roman"/>
          <w:b/>
          <w:sz w:val="28"/>
          <w:szCs w:val="28"/>
        </w:rPr>
        <w:t xml:space="preserve">на территории Старощербиновского </w:t>
      </w:r>
    </w:p>
    <w:p w:rsidR="000E6C10" w:rsidRPr="000E6C1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7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1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района» </w:t>
      </w:r>
    </w:p>
    <w:p w:rsidR="000E6C10" w:rsidRPr="008B3125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10" w:rsidRPr="008B3125" w:rsidRDefault="000E6C10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0E9" w:rsidRPr="008B3125" w:rsidRDefault="005070E9" w:rsidP="000E6C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связи с уточнением объемов финансирования 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 в соответствии с пост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Старощербиновского сельского поселения Щерб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новского района от 14 июля 2014 года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новского района» (с изменениями от 09 сентября 2014 года № 388, от                31 октября 2014 года № 508, от 12 мая 2016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года № 199, от 16 мая 2016 года      № 207) 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го поселения Щербиновского района от 31 октября 2014 года № 529 «Об утверждении муниципальной программы Старощербиновского сельского пос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«Обеспечение безопасности населения на терр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тории Старощербиновского сельского поселения Щербиновского района» (с изменениями от 26 октября 2016 года № 394, 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2018 года №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менения изложив приложение к нему в новой редакции (приложение).</w:t>
      </w:r>
      <w:proofErr w:type="gramEnd"/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2. Финансово-экономическому отделу администрации Старощербино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(</w:t>
      </w:r>
      <w:r w:rsidR="00130C3A">
        <w:rPr>
          <w:rFonts w:ascii="Times New Roman" w:eastAsia="Times New Roman" w:hAnsi="Times New Roman" w:cs="Times New Roman"/>
          <w:sz w:val="28"/>
          <w:szCs w:val="28"/>
        </w:rPr>
        <w:t>Калмыкова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) предусмотреть в бюджете Старощербиновского сельского поселения Щербиновского района финансирование муниципальной программы Старощербиновского сельского поселения Щербиновского района «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безопасности населении на 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территории Старощербиновского сельского поселения Щербиновского рай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  <w:r w:rsidR="00202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125" w:rsidRPr="008B3125" w:rsidRDefault="008B3125" w:rsidP="008B3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Отменить постановление администрации Старощербиновского сель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поселения Щербиновского района от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2018 года № </w:t>
      </w:r>
      <w:r w:rsidR="0001546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сении изменений в постановление администрации Старощербиновского сел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Щербиновского района от 31 октября 2014 года № 529 «Об утверждении муниципальной программы Старощербиновского сельского пос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Щербиновского района «Обеспечение безопасности населении на терр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Старощербиновского сельского поселения Щербиновского района».</w:t>
      </w:r>
    </w:p>
    <w:p w:rsidR="008B3125" w:rsidRP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4. Общему отделу администрации Старощербиновского сельского пос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(Шилова):</w:t>
      </w:r>
    </w:p>
    <w:p w:rsidR="008B3125" w:rsidRP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8B312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в информационно-телекоммуникационной сети «Интернет» (http://stars</w:t>
      </w:r>
      <w:r w:rsidRPr="008B312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«2018 год»;</w:t>
      </w:r>
    </w:p>
    <w:p w:rsidR="008B3125" w:rsidRDefault="008B312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202B35" w:rsidRPr="008B3125" w:rsidRDefault="00202B3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02B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2B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и благоустройства 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2B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Цокура</w:t>
      </w:r>
      <w:proofErr w:type="spellEnd"/>
      <w:r w:rsidRPr="00202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125" w:rsidRPr="008B3125" w:rsidRDefault="00202B35" w:rsidP="008B3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3125" w:rsidRPr="008B312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8B3125" w:rsidRPr="008B31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его официального опубликования. </w:t>
      </w: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B3125" w:rsidRPr="008B3125" w:rsidRDefault="008B3125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В.Г. Подолянко</w:t>
      </w: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125" w:rsidRPr="008B3125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0E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80" w:rsidRDefault="00B94D80" w:rsidP="00A93EFC">
      <w:pPr>
        <w:spacing w:after="0" w:line="240" w:lineRule="auto"/>
        <w:rPr>
          <w:rFonts w:ascii="Times New Roman" w:hAnsi="Times New Roman" w:cs="Times New Roman"/>
        </w:rPr>
      </w:pPr>
    </w:p>
    <w:p w:rsidR="00326759" w:rsidRDefault="00326759" w:rsidP="00A93EFC">
      <w:pPr>
        <w:spacing w:after="0" w:line="240" w:lineRule="auto"/>
        <w:rPr>
          <w:rFonts w:ascii="Times New Roman" w:hAnsi="Times New Roman" w:cs="Times New Roman"/>
        </w:rPr>
      </w:pPr>
    </w:p>
    <w:p w:rsidR="00326759" w:rsidRDefault="00326759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82699" w:rsidRPr="00A82699" w:rsidTr="00A82699">
        <w:trPr>
          <w:trHeight w:val="1610"/>
        </w:trPr>
        <w:tc>
          <w:tcPr>
            <w:tcW w:w="4644" w:type="dxa"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 № ___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699" w:rsidRPr="00A82699" w:rsidTr="00A82699">
        <w:trPr>
          <w:trHeight w:val="2410"/>
        </w:trPr>
        <w:tc>
          <w:tcPr>
            <w:tcW w:w="4644" w:type="dxa"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октября 2014 года № 529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Старощербиновского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699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 № ___)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населения на территории 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Щербиновского района»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A82699" w:rsidRPr="00A82699" w:rsidTr="00A82699">
        <w:tc>
          <w:tcPr>
            <w:tcW w:w="4151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1. Характеристика текущего состояния и прогноз развития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Администрация Старощербиновского сельского поселения 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района - исполнительно-распорядительный орган муниципального обр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зования Старощербиновского сельского поселения Щербиновского района, наделенный Уставом Старощербиновского сельского поселения 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района полномочиями по решению вопросов местного значения и полном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чиями для осуществления отдельных государственных полномочий, переда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федеральными законами и законами Краснодарского края.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муниципальной программы и последующей ее реализации обусловлена тем, что в настоящее время кризисы и чрезвычайные ситуации остаются одними из важнейших вызовов стабильному экономическ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му росту поселения.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Правовой основой муниципальной программы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Федеральный закон от 21 декабря 1994 года № 68-ФЗ «О защите населения и территорий от чрезвычайных ситуаций природного и техногенного характера» Закон Краснодарского края от 28 июля 2007 года № 1267-КЗ «Об участии граждан в охране общественного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порядка в Краснодарском крае».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исполнения муниципальных фун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ций администрации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в муниципальной программе определяются ряд основных мероприятий по обеспечению деятельности администрации Старощербиновского сельского поселения Щербиновского района.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и ликвидация последствий чрезвычайных ситуаций природн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и техногенного характера, обеспечение защиты населения, территорий и объектов жизнеобеспечения от угроз природного и техногенного характера.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района возможно возникновение рисков следующих чрезвычайных ситу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ций: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-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с возникновением природных пожаров, сильным ветром, ураганом и шквалом, сильными дождями, ливнями, сильным снегопадом, осадками в виде крупного града, засухой;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техногенного характера – связанные с авариями на потенциально опасных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>, объектах энергосетей, жилищно-коммунального хозяйства, маг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газопроводах, на воздушном, железнодорожном, автомобильном транспорте, техногенными пожарами.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ного характера, негативных последствий чрезвычайных ситуаций для устойч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вого социально-экономического развития поселения одним из важных элеме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тов обеспечения безопасности является повышение защиты населения, терр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торий и потенциально опасных объектов. Предполагается, что муниципальная программа станет одним из инструментов, который позволит значительно сн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зить человеческие жертвы при чрезвычайных ситуациях, повысит операти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ность реагирования на них. Важно не просто констатировать сложные ситу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ции, а научиться предотвращать их, своевременно прогнозировать возникнов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власти и населения. В условиях быстро развивающейся чрезвычайной ситуации основными факторами обеспечения безопасности населения являются заблаг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временное оповещение населения об угрозе и доведение информац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ии о ее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рактере. Своевременное оповещение населения об угрозе возникновения чре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вычайных ситуаций является одной из основных задач органов управления и сил единой государственной системы предупреждения и ликвидации чрезв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чайных ситуаций.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Основной целью мероприятия «Обеспечение безопасности людей на во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ных объектах» является – снижение риска возникновения несчастных случаев 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на воде и смягчить возможные их последствия, повысить уровень безопасности на водных объектах.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ние, устранение причин и условий, способствующих совершению правонар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шений, является одним из важнейших условий улучшения социально-экономической ситуации на территории поселения. Сложившееся положение требует разработки и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долгосрочных мер, направленных на решение задач повышения защищенности населения сельского поселения,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условиях больших экономических и социальных преобразований в нашей стране все большее значение приобретает задача формирования созн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тельности и чувства высокой ответственности каждого гражданина перед 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ществом, обеспечения дисциплины и организованности, укрепления правоп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рядка и законности. В решении этой задачи наряду с органами местного сам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управления и общественными организациями важная роль принадлежит добр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является документом, открытым для внесения изменений и дополнений.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Принимая во внимание тенденцию расширения спектра и многообразия внутренних и внешних угроз, назрела острая необходимость последовательного осуществления органами местного самоуправления, хозяйствующими субъе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тами всех форм собственности, общественными организациями и населением во взаимодействии с федеральными и краевыми структурами комплекса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граммных, взаимосвязанных между собой мер, направленных на формирование в Старощербиновском сельском поселении Щербиновского района эффекти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системы поддержания общественно-политической стабильности, обеспеч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 общественной безопасности, защиты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граждан и территорий от последствий чрезвычайных ситуаций природного и техногенного характера.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Основная цель муниципальной программы - последовательное снижение рисков чрезвычайных ситуаций, защита населения и территории поселения от угроз природного и техногенного характера, повышение уровня безопасности на водных объектах и снижение риска возникновения несчастных случаев на воде, предупреждение и минимизация последствий чрезвычайных ситуаций, развитие системы добровольных народных дружин по предупреждению нар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шений общественного порядка, профилактике правонарушений в обществе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местах, защите личности, общества и государства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от противоправных п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сягательств, на основе принципов добровольности, законности, гуманности, 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блюдения и защиты прав и свобод человека и гражданина.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ab/>
        <w:t>Для реализации поставленных целей необходимо решение следующих 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дач: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1) обеспечение эффективного предупреждения и ликвидации последствий чрезвычайных ситуаций и стихийных бедствий, информирование населения о правилах поведения и действиях в чрезвычайных ситуациях, содержание ав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рийно-спасательных формирований в границах поселения;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2) обеспечение эффективного предупреждения и ликвидации происш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ствий на водных объектах;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3) обеспечение первичных мер пожарной безопасности в границах пос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ления, обеспечение работоспособности противопожарного оборудования;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4) развитие систем оказания содействия органам местного самоуправл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ния, по обеспечению правопорядка, защите личности, общества и государства от противоправных посягательств;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5) оперативное реагирование и оказание экстренной помощи населению при угрозе (возникновении) чрезвычайных ситуаций природного и техногенн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характера на территории Старощербиновского сельского поселения Щерб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новского района.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рассчитана на срок с 2015 года по 2021 год.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2015-2021 годах в зависимости от анализа эффективности их осуществления в предыдущем году, постановки новых задач и возможностей бюджета Стар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Целевые показатели, сроки и этапы реализации муниципальной програ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 приведены в приложении № 2 к муниципальной программе.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исполнителей мероприятий, источников финанс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рования и показателей результатов мероприятий по годам приводится в прил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жении № 3 к муниципальной программе.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 программы будет осуществляться за счет средств бюджета Старощербиновского сельского поселения Щербино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ского района. Общий объем финансирования муниципальной программы на 2015-2021 годы составляет 3048332 рубля 00 копеек.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муниципальной программы прив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дено в таблице № 1.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№ 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60"/>
        <w:gridCol w:w="851"/>
        <w:gridCol w:w="993"/>
        <w:gridCol w:w="1134"/>
        <w:gridCol w:w="850"/>
        <w:gridCol w:w="709"/>
        <w:gridCol w:w="850"/>
        <w:gridCol w:w="709"/>
        <w:gridCol w:w="675"/>
        <w:gridCol w:w="676"/>
        <w:gridCol w:w="775"/>
      </w:tblGrid>
      <w:tr w:rsidR="00A82699" w:rsidRPr="00A82699" w:rsidTr="00A82699">
        <w:trPr>
          <w:trHeight w:val="8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 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2699" w:rsidRPr="00A82699" w:rsidTr="00A82699">
        <w:trPr>
          <w:trHeight w:val="8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пальная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3048332,0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2644005,0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123900,0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87900,0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144027,0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№ 1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дупр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ждению и ли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чрезв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чайных ситу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гран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цах 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Старо-</w:t>
            </w:r>
            <w:proofErr w:type="spell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82699" w:rsidRPr="00A82699" w:rsidTr="00A82699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2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по обесп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людей на во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57200,00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39500,00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3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обесп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пожа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4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уч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стию в проф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лактике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 и экстр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на, МБУК ЦНТ, МБУК «Щерб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центр </w:t>
            </w:r>
            <w:proofErr w:type="spellStart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кин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5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зданию условий для 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добр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форм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охране общ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поря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99" w:rsidRPr="00A82699" w:rsidTr="00A8269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тие № 6</w:t>
            </w:r>
          </w:p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профе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го ав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рийно-спас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го фо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роще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2564905,00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2564905,00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99" w:rsidRPr="00A82699" w:rsidRDefault="00A82699" w:rsidP="00A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5. Прогноз сводных показателей муниципальных заданий на оказание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муниципальными учреждениями Старощербиновского сельского поселения Щербиновского района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очередной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Щербиновского района. 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6. Методика оценки эффективности реализации </w:t>
      </w: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ке, формирования, реализации и оценки эффективности реализации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A82699" w:rsidRPr="00A82699" w:rsidRDefault="00A82699" w:rsidP="00A8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7. Механизм реализации муниципальной программы и </w:t>
      </w:r>
    </w:p>
    <w:p w:rsidR="00A82699" w:rsidRPr="00A82699" w:rsidRDefault="00A82699" w:rsidP="00A8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контроль над ее выполнением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натор, который: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программы, участниками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программы, участников муниципальной программы;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нений в муниципальную программу;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вания реализации муниципальной программы на основании предложений, участников муниципальной программы;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ности, представляемой участниками муниципальной программы;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ципальной программы);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щение целей и задач муниципальной программы в печатных средствах масс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вой информации, на официальном сайте администрации Старощербиновского сельского поселения Щербиновского района в информационно-телекоммуникационной сети Интернет;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 на официальном сайте администрации Старощербиновск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сельского поселения Щербиновского района в информационно-телекоммуникационной сети «Интернет».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1 декабря текущего финансового года, утверждает согласованный с участник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рования, реализации и оценки эффективности реализации муниципальных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 Старощербиновского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района» (с изменениями от 09 сентября 2014 года № 388). В плане реализации муниц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пальной программы отражаются: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таты реализации муниципальной программы (с указанием их сроков и ожида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мых результатов, позволяющих определить наступление контрольного события программы);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 муниципальной программы и (или) участники муниципальной программы, ответственные за контрольные события муниципальной програ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 рекомендуется использовать следующие:</w:t>
      </w:r>
      <w:proofErr w:type="gramEnd"/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7.4. В целях обеспечения эффективного мониторинга реализации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 координатор муниципальной программы ежегодно, не позднее 31 декабря текущего финансового года, разрабатывает и утверждает соглас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ванный с участниками муниципальной программы детальный план-график ре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лизации муниципальной программы на очередной год и плановый период (д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лее - детальный план-график) по форме согласно приложению № 10 к Порядку. Детальный план-график содержит полный перечень мероприятий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 на очередной год, а также полный перечень контрольных соб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тий муниципальной программы.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програ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мы ее координатор представляет в финансово-экономический отдел админ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лее - финансово-экономический отдел) план реализации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граммы и детальный план-график в течение 3 рабочих дней после их утвержд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сении изменений в план реализации муниципальной программы и детальный план-график он уведомляет об этом финансово-экономический отдел админ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лее финансово-экономический отдел) в течение 3 рабочих дней после их ко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ректировки.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7.7. Мониторинг реализации муниципальной программы осуществляется по 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четным формам, утвержденным муниципальными правовыми актами Стар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7.8.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тронных носителях.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ляют в его адрес в рамках компетенции информацию, необходимую для фо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мирования доклада о ходе реализации муниципальной программы.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распорядителей (распорядителей) средств бюджета Старощербиновского сельского поселения Щербиновского района;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чин их невыполнения или неполного выполнения;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зации муниципальной программы и входящих в ее состав основных меропри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тий плановым показателям, установленным муниципальной программой;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ний на оказание муниципальных услуг (выполнение работ) муниципальными учреждениями Старощербиновского сельского поселения Щербиновского ра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она в сфере реализации муниципальной программы (при наличии).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граммы проводится анализ </w:t>
      </w:r>
      <w:proofErr w:type="gramStart"/>
      <w:r w:rsidRPr="00A82699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муниципальной программы причины, повлиявшие на такие расхождения.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ном году, координатор муниципальной программы представляет в финансово-экономический отдел доклад о результатах ее выполнения, включая оценку э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муниципальной программы за истекший год и весь период реализации муниципальной программы.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7.10. При реализации мероприятия муниципальной программы (основного 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роприятия) администрация Старощербиновского сельского поселения Щерб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новского района выступает муниципальным заказчиком.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7.11. Муниципальный заказчик: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рядке согласно Федеральному </w:t>
      </w:r>
      <w:hyperlink r:id="rId7" w:history="1">
        <w:r w:rsidRPr="00885001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lastRenderedPageBreak/>
        <w:t>трактной системе в сфере закупок товаров, работ, услуг для обеспечения гос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нужд»;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ных в его распоряжение средств бюджета Старощербиновского сельского пос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муниципал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ной программы.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7.12. Администрация, как главный распорядитель средств бюджета Староще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биновского сельского поселения Щербиновского района в пределах полном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чий, установленных бюджетным законодательством Российской Федерации: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средств бюджета Старощербиновского сельского поселения Щербиновского района в соответствии с утвержденными ему бюджетными ассигнованиями и лимитами бюджетных обязательств;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полномочия, установленные бюджетным законодательством Ро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сийской Федерации.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7.13. Администрация Старощербиновского сельского поселения Щербиновск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9">
        <w:rPr>
          <w:rFonts w:ascii="Times New Roman" w:eastAsia="Times New Roman" w:hAnsi="Times New Roman" w:cs="Times New Roman"/>
          <w:sz w:val="28"/>
          <w:szCs w:val="28"/>
        </w:rPr>
        <w:t>го района как исполнитель мероприятий муниципальной программы: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мероприятий, проводит анализ его выполнения;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99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A82699" w:rsidRPr="00A82699" w:rsidRDefault="00A82699" w:rsidP="00A8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99" w:rsidRDefault="00A82699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85D" w:rsidRDefault="0029685D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5001" w:rsidRPr="00885001" w:rsidTr="00885001">
        <w:tc>
          <w:tcPr>
            <w:tcW w:w="4927" w:type="dxa"/>
          </w:tcPr>
          <w:p w:rsidR="00885001" w:rsidRPr="00885001" w:rsidRDefault="00885001" w:rsidP="0088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885001" w:rsidRPr="00885001" w:rsidRDefault="00885001" w:rsidP="008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85001" w:rsidRPr="00885001" w:rsidRDefault="00885001" w:rsidP="0088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района «Обеспечение бе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населения на территории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района» (далее–муниципальная программа)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народного тво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чества» Старощербиновского сельск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района, (далее - МБУК ЦНТ)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мероприятия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предупреждение и ликвидация п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следствий чрезвычайных ситуаций в границах поселения;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безопасности людей на водных объектах;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пожарной безопасн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сти;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создание условий для деятельности добровольных формирований насел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 охране общественного порядка;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защите населения и территории от чрезвычайных ситуаций природного и техногенного характера;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повышению уровня безопасности на водных объектах и снижение риска возникновения несчастных случаев на воде;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пожарной безопасности населения Старощербиновского сельского пос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реализация полномочий органов местного самоуправления по организ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осуществлению мероприятий по повышение уровня безопасности жи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 и здоровья граждан с учетом разв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тия системы добровольных народных дружин по предупреждению наруш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общественного порядка;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эффективного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преждения и ликвидации последствий чрезвычайных ситуаций в границах 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поселения, информирование населения о правилах поведения и действиях в чрезвычайных ситуациях;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эффективного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преждения и ликвидации происш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на водных объектах;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обеспечение первичных мер пожа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безопасности в границах посел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обеспечение работоспособности противопожарного оборудования;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развитие систем оказания соде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органам местного самоуправл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по обеспечению правопорядка, защите личности, общества и госуда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от противоправных посягательств;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5) оперативное реагирование и оказ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экстренной помощи населению при угрозе (возникновении) чрезв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 природного и техн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генного характера на территории Ст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рощербиновского сельского поселения Щербиновского района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приобретенного обор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дования для проведения ремонтно-восстановительных работ;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приобретенных против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3) количество установленных пред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преждающих щитов;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4) функционирование добровольных народных дружин в Старощербино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сельском поселении Щербино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) исполнение полномочий поселения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2015-2021 годы</w:t>
            </w:r>
          </w:p>
        </w:tc>
      </w:tr>
      <w:tr w:rsidR="00885001" w:rsidRPr="00885001" w:rsidTr="00885001">
        <w:tc>
          <w:tcPr>
            <w:tcW w:w="4151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бюджета Старощербиновского сел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Щербиновского рай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2015-2021 годы - 3048332,0 ру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лей 00 копеек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- 2644005,00 рублей 00 коп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- 123900,00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- 87900,00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-144027,0рублей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- 39500,00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- 4500,0 рублей 00 копеек;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- 4500,0 рублей 00 копеек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01" w:rsidRPr="00885001" w:rsidTr="00885001">
        <w:tc>
          <w:tcPr>
            <w:tcW w:w="4151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885001" w:rsidRPr="00885001" w:rsidRDefault="00885001" w:rsidP="0088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500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001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И.А. Цокур</w:t>
      </w:r>
    </w:p>
    <w:p w:rsidR="00885001" w:rsidRPr="00885001" w:rsidRDefault="00885001" w:rsidP="0088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001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01" w:rsidRPr="00A82699" w:rsidRDefault="00885001" w:rsidP="00A8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59" w:rsidRDefault="00326759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  <w:sectPr w:rsidR="00194820" w:rsidSect="00202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194820" w:rsidRPr="00194820" w:rsidTr="00194820">
        <w:tc>
          <w:tcPr>
            <w:tcW w:w="4915" w:type="dxa"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поселения Щербиновского района 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194820" w:rsidRPr="00194820" w:rsidRDefault="00194820" w:rsidP="00194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Старощербиновского сельского поселения 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194820" w:rsidRPr="00194820" w:rsidRDefault="00194820" w:rsidP="0019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3662"/>
        <w:gridCol w:w="1096"/>
        <w:gridCol w:w="1264"/>
        <w:gridCol w:w="1275"/>
        <w:gridCol w:w="1418"/>
        <w:gridCol w:w="1417"/>
        <w:gridCol w:w="1310"/>
        <w:gridCol w:w="95"/>
        <w:gridCol w:w="13"/>
        <w:gridCol w:w="1203"/>
        <w:gridCol w:w="47"/>
        <w:gridCol w:w="26"/>
        <w:gridCol w:w="1238"/>
      </w:tblGrid>
      <w:tr w:rsidR="00194820" w:rsidRPr="00194820" w:rsidTr="0019482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 по годам:</w:t>
            </w:r>
          </w:p>
        </w:tc>
      </w:tr>
      <w:tr w:rsidR="00194820" w:rsidRPr="00194820" w:rsidTr="00194820">
        <w:trPr>
          <w:trHeight w:val="9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«Мероприятия по предупреждению и ликвидации последствий чрезвычайных ситуаций в границах поселения»</w:t>
            </w:r>
          </w:p>
        </w:tc>
      </w:tr>
      <w:tr w:rsidR="00194820" w:rsidRPr="00194820" w:rsidTr="00194820">
        <w:trPr>
          <w:trHeight w:val="7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оборудования для проведения ремонтно-восстановительных работ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Обучено человек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противогазов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1.4.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Приобретено листовок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«Мероприятие по обеспечению людей на водных объектах»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установленных предупреждающих щитов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в СМИ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стенда информационного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«Мероприятия по обеспечению пожарной безопасности»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электромегафона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3-х коленчатой лестницы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 ПГ (200*200)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ствола РС 50А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рукава пожарного 51 мм с ГР-50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знака «Осторожно с огнем»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огнетушителя порошкового ОП-4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стенда «Уголок </w:t>
            </w: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820" w:rsidRPr="00194820" w:rsidRDefault="00194820" w:rsidP="001948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светоотражающего знака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 пожарной безопасности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щит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цепной пилы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пожарных гидрантов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 «Мероприятия по участию в профилактике терроризма и экстремизма»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фестиваля «Страна талантов»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94820" w:rsidRPr="00194820" w:rsidRDefault="00194820" w:rsidP="00194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 добровольных народных дружин в сельском поселении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 «Мероприятия по содержанию профессионального аварийно-спасательного формирования»</w:t>
            </w:r>
          </w:p>
        </w:tc>
      </w:tr>
      <w:tr w:rsidR="00194820" w:rsidRPr="00194820" w:rsidTr="001948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Исполнение полномочий поселения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20" w:rsidRPr="00194820" w:rsidRDefault="00194820" w:rsidP="001948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587"/>
      <w:r w:rsidRPr="0019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19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жилищно-коммунального  </w:t>
      </w: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хозяйства и благоустройства администрации </w:t>
      </w:r>
    </w:p>
    <w:p w:rsidR="00194820" w:rsidRPr="00194820" w:rsidRDefault="00194820" w:rsidP="00194820">
      <w:pPr>
        <w:tabs>
          <w:tab w:val="left" w:pos="7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194820" w:rsidRPr="00194820" w:rsidRDefault="00194820" w:rsidP="00194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8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5"/>
        <w:gridCol w:w="4917"/>
        <w:gridCol w:w="4954"/>
      </w:tblGrid>
      <w:tr w:rsidR="008A7ED8" w:rsidRPr="008A7ED8" w:rsidTr="008A7ED8">
        <w:tc>
          <w:tcPr>
            <w:tcW w:w="4915" w:type="dxa"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7" w:type="dxa"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 населения на территории Старощербиновского сельского поселения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ED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населения на территории Старощербиновского</w:t>
      </w:r>
    </w:p>
    <w:p w:rsidR="008A7ED8" w:rsidRPr="008A7ED8" w:rsidRDefault="008A7ED8" w:rsidP="008A7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Щербиновского района»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17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2264"/>
        <w:gridCol w:w="1555"/>
        <w:gridCol w:w="1137"/>
        <w:gridCol w:w="139"/>
        <w:gridCol w:w="992"/>
        <w:gridCol w:w="992"/>
        <w:gridCol w:w="992"/>
        <w:gridCol w:w="993"/>
        <w:gridCol w:w="15"/>
        <w:gridCol w:w="930"/>
        <w:gridCol w:w="50"/>
        <w:gridCol w:w="12"/>
        <w:gridCol w:w="847"/>
        <w:gridCol w:w="36"/>
        <w:gridCol w:w="818"/>
        <w:gridCol w:w="139"/>
        <w:gridCol w:w="1417"/>
        <w:gridCol w:w="51"/>
        <w:gridCol w:w="91"/>
        <w:gridCol w:w="140"/>
        <w:gridCol w:w="1139"/>
      </w:tblGrid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68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1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по организации и осуществлению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№ 1</w:t>
            </w:r>
          </w:p>
        </w:tc>
        <w:tc>
          <w:tcPr>
            <w:tcW w:w="12484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эффективного предупреждения и ликвидации последствий чрезвычайных ситуаций в границах поселения</w:t>
            </w:r>
            <w:proofErr w:type="gramStart"/>
            <w:r w:rsidRPr="008A7ED8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населения о правилах поведения и действиях в чрезвычайных ситуациях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последствий чрезвычайных ситуаций и в границах поселения, информирование населения о правилах поведения и действиях в чрезвычайных ситуациях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152200,0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«Мероприятия по обучению предупреждению и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в границах поселения»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в границах поселения, информирование населения о правилах поведения и действиях в чрезвычайных ситуациях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Старощербиновского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овского сельского поселения Щербиновского района 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9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9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0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и листовок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и листовок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Старощербиновского сельского поселения Щербиновского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района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8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7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8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индивидуальной защиты для администрации поселения (противогазы ГП -9)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106900,0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2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106900,0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61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2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повышению уровня безопасности на водных объектах и снижение риска возникновения несчастных случаев на воде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2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объекта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«Мероприятие по обеспечению людей на водных объектах»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объекта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переносных предупреждающих щитов о запрете нахождения на водном объекте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46700,0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переносных предупреждающих щитов о запрете нахождения на водном объекте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46700,0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в средствах массовой информации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выполнение соответствующих услуг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 мероприятия № 3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пожарной безопасности населения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основного мероприятия № 3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«Приобретение оборудования по обеспечению пожарной безопасности»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236027,0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115027,0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4.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защите жизни и здоровья граждан при угрозе террористической (экстремистской) направленности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4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организация воспитательной работы среди детей и молодежи, направленная на устранение причин и условий,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совершению действий экстремистского характера</w:t>
            </w:r>
          </w:p>
        </w:tc>
      </w:tr>
      <w:tr w:rsidR="008A7ED8" w:rsidRPr="008A7ED8" w:rsidTr="008A7ED8">
        <w:trPr>
          <w:trHeight w:val="7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участию в профилактике терроризма и экстремизма»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достижение взаимопонимания и взаимного уважения в вопросах межэтнического и межкультурного сотрудничества, организация воспитательной работы среди детей и молодежи, направленная на устранение 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  способствующих совершению действий экстремистского характера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28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77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0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баннера по профилактике экстремизма и терроризма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приобретение товара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рамках муниципальной программы фестиваля «Страна талантов»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ЦНТ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Старощербиновского сельского поселения Щербиновского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 мероприятия № 5</w:t>
            </w:r>
          </w:p>
        </w:tc>
        <w:tc>
          <w:tcPr>
            <w:tcW w:w="12484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по организации и осуществлению мероприятий по повышение уровня безопасности жизни и здоровья граждан с учетом развития системы добровольных народных дружин по предупреждению нарушений общественного порядка</w:t>
            </w: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5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5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 населения по охране общественного порядка»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оказания содействия органам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выполнение соответствующих услуг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9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основного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6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решения задач в области содержания профессионального аварийно-спасательного формирования в границах поселения</w:t>
            </w:r>
          </w:p>
        </w:tc>
      </w:tr>
      <w:tr w:rsidR="008A7ED8" w:rsidRPr="008A7ED8" w:rsidTr="008A7ED8">
        <w:trPr>
          <w:trHeight w:val="7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основного </w:t>
            </w:r>
          </w:p>
          <w:p w:rsidR="008A7ED8" w:rsidRPr="008A7ED8" w:rsidRDefault="008A7ED8" w:rsidP="008A7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№ 6</w:t>
            </w:r>
          </w:p>
        </w:tc>
        <w:tc>
          <w:tcPr>
            <w:tcW w:w="124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реагирование и оказание экстренной помощи населению при угрозе (возникновении) чрезвычайных ситуаций природного и техногенного характера на территории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33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 № 6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содержанию профессионального аварийно-спасательного формирования»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профессионального аварийно-спасательного формирования 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33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</w:t>
            </w:r>
          </w:p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профессионального аварийно-спасательного формирования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суммы затрат на содержание аварийно-спасательного формирования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8A7ED8" w:rsidRPr="008A7ED8" w:rsidTr="008A7ED8">
        <w:trPr>
          <w:trHeight w:val="1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Старощербиновского сельского поселения Щербиновского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2564905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Calibri" w:eastAsia="Times New Roman" w:hAnsi="Calibri" w:cs="Times New Roman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Щербино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Краснода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7ED8" w:rsidRPr="008A7ED8" w:rsidRDefault="008A7ED8" w:rsidP="008A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D8" w:rsidRPr="008A7ED8" w:rsidTr="008A7ED8">
        <w:trPr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3048332,0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2644005,0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123900,0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87900,0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144027,0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7ED8" w:rsidRPr="008A7ED8" w:rsidRDefault="008A7ED8" w:rsidP="008A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D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5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ED8" w:rsidRPr="008A7ED8" w:rsidRDefault="008A7ED8" w:rsidP="008A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Начальник отдела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 xml:space="preserve">жилищно-коммунального 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хозяйства и благоустройства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>администрации Старощербиновского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A7ED8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8A7ED8" w:rsidRPr="008A7ED8" w:rsidRDefault="008A7ED8" w:rsidP="008A7ED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A7ED8">
        <w:rPr>
          <w:rFonts w:ascii="Times New Roman" w:eastAsia="Times New Roman" w:hAnsi="Times New Roman" w:cs="Times New Roman"/>
          <w:sz w:val="28"/>
        </w:rPr>
        <w:t>Щербиновского района                                                                                                                                                   И.А. Цокур</w:t>
      </w: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p w:rsidR="00194820" w:rsidRPr="000E6C10" w:rsidRDefault="00194820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194820" w:rsidRPr="000E6C10" w:rsidSect="0019482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3" w:rsidRDefault="008B5333" w:rsidP="00530D45">
      <w:pPr>
        <w:spacing w:after="0" w:line="240" w:lineRule="auto"/>
      </w:pPr>
      <w:r>
        <w:separator/>
      </w:r>
    </w:p>
  </w:endnote>
  <w:endnote w:type="continuationSeparator" w:id="0">
    <w:p w:rsidR="008B5333" w:rsidRDefault="008B5333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3" w:rsidRDefault="008B5333" w:rsidP="00530D45">
      <w:pPr>
        <w:spacing w:after="0" w:line="240" w:lineRule="auto"/>
      </w:pPr>
      <w:r>
        <w:separator/>
      </w:r>
    </w:p>
  </w:footnote>
  <w:footnote w:type="continuationSeparator" w:id="0">
    <w:p w:rsidR="008B5333" w:rsidRDefault="008B5333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201"/>
      <w:docPartObj>
        <w:docPartGallery w:val="Page Numbers (Top of Page)"/>
        <w:docPartUnique/>
      </w:docPartObj>
    </w:sdtPr>
    <w:sdtEndPr/>
    <w:sdtContent>
      <w:p w:rsidR="004F4706" w:rsidRDefault="00A735FE">
        <w:pPr>
          <w:pStyle w:val="a5"/>
          <w:jc w:val="center"/>
        </w:pPr>
        <w:r>
          <w:fldChar w:fldCharType="begin"/>
        </w:r>
        <w:r w:rsidR="004F4706">
          <w:instrText>PAGE   \* MERGEFORMAT</w:instrText>
        </w:r>
        <w:r>
          <w:fldChar w:fldCharType="separate"/>
        </w:r>
        <w:r w:rsidR="0029685D">
          <w:rPr>
            <w:noProof/>
          </w:rPr>
          <w:t>38</w:t>
        </w:r>
        <w:r>
          <w:fldChar w:fldCharType="end"/>
        </w:r>
      </w:p>
    </w:sdtContent>
  </w:sdt>
  <w:p w:rsidR="004F4706" w:rsidRDefault="004F47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06" w:rsidRDefault="004F4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0"/>
    <w:rsid w:val="0001546A"/>
    <w:rsid w:val="00027615"/>
    <w:rsid w:val="000952CE"/>
    <w:rsid w:val="000A1FC5"/>
    <w:rsid w:val="000B0C5C"/>
    <w:rsid w:val="000E6C10"/>
    <w:rsid w:val="000F191A"/>
    <w:rsid w:val="000F413E"/>
    <w:rsid w:val="00130C3A"/>
    <w:rsid w:val="00150778"/>
    <w:rsid w:val="00194820"/>
    <w:rsid w:val="00202B35"/>
    <w:rsid w:val="00232950"/>
    <w:rsid w:val="00286B24"/>
    <w:rsid w:val="0029685D"/>
    <w:rsid w:val="002C508C"/>
    <w:rsid w:val="002E6536"/>
    <w:rsid w:val="00317DB6"/>
    <w:rsid w:val="00326759"/>
    <w:rsid w:val="00351D3D"/>
    <w:rsid w:val="003F0C6C"/>
    <w:rsid w:val="003F1925"/>
    <w:rsid w:val="004367D7"/>
    <w:rsid w:val="00445A2F"/>
    <w:rsid w:val="00452776"/>
    <w:rsid w:val="004769D1"/>
    <w:rsid w:val="004E726C"/>
    <w:rsid w:val="004F4706"/>
    <w:rsid w:val="005070E9"/>
    <w:rsid w:val="00530284"/>
    <w:rsid w:val="00530D45"/>
    <w:rsid w:val="00542565"/>
    <w:rsid w:val="00585F07"/>
    <w:rsid w:val="005F2CD3"/>
    <w:rsid w:val="006209CB"/>
    <w:rsid w:val="00675B7B"/>
    <w:rsid w:val="00776512"/>
    <w:rsid w:val="0082344A"/>
    <w:rsid w:val="00843BBC"/>
    <w:rsid w:val="008830EC"/>
    <w:rsid w:val="00885001"/>
    <w:rsid w:val="008A7ED8"/>
    <w:rsid w:val="008B3125"/>
    <w:rsid w:val="008B5333"/>
    <w:rsid w:val="009B62E5"/>
    <w:rsid w:val="00A5546D"/>
    <w:rsid w:val="00A735FE"/>
    <w:rsid w:val="00A82699"/>
    <w:rsid w:val="00A86E72"/>
    <w:rsid w:val="00A93EFC"/>
    <w:rsid w:val="00A9614B"/>
    <w:rsid w:val="00A965AE"/>
    <w:rsid w:val="00B855C4"/>
    <w:rsid w:val="00B94D80"/>
    <w:rsid w:val="00BC0299"/>
    <w:rsid w:val="00C22DFC"/>
    <w:rsid w:val="00C32384"/>
    <w:rsid w:val="00CE4B27"/>
    <w:rsid w:val="00CF2FDD"/>
    <w:rsid w:val="00D27943"/>
    <w:rsid w:val="00DA05D0"/>
    <w:rsid w:val="00E51689"/>
    <w:rsid w:val="00E52775"/>
    <w:rsid w:val="00EC1A95"/>
    <w:rsid w:val="00EC7F9C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numbering" w:customStyle="1" w:styleId="1">
    <w:name w:val="Нет списка1"/>
    <w:next w:val="a2"/>
    <w:uiPriority w:val="99"/>
    <w:semiHidden/>
    <w:unhideWhenUsed/>
    <w:rsid w:val="008A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numbering" w:customStyle="1" w:styleId="1">
    <w:name w:val="Нет списка1"/>
    <w:next w:val="a2"/>
    <w:uiPriority w:val="99"/>
    <w:semiHidden/>
    <w:unhideWhenUsed/>
    <w:rsid w:val="008A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479C82588636F58C115D2BBA6230E297964D3053395DEB34164CE63o6j7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11</cp:revision>
  <cp:lastPrinted>2018-02-28T11:02:00Z</cp:lastPrinted>
  <dcterms:created xsi:type="dcterms:W3CDTF">2018-11-13T12:54:00Z</dcterms:created>
  <dcterms:modified xsi:type="dcterms:W3CDTF">2018-11-14T12:29:00Z</dcterms:modified>
</cp:coreProperties>
</file>